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FA" w:rsidRDefault="000F60FA" w:rsidP="000F60FA">
      <w:pPr>
        <w:rPr>
          <w:sz w:val="16"/>
          <w:szCs w:val="16"/>
        </w:rPr>
      </w:pPr>
      <w:bookmarkStart w:id="0" w:name="_Toc357429510"/>
      <w:r>
        <w:rPr>
          <w:noProof/>
          <w:lang w:eastAsia="en-GB"/>
        </w:rPr>
        <mc:AlternateContent>
          <mc:Choice Requires="wps">
            <w:drawing>
              <wp:anchor distT="0" distB="0" distL="114300" distR="114300" simplePos="0" relativeHeight="251659264" behindDoc="0" locked="0" layoutInCell="1" allowOverlap="1" wp14:anchorId="30CE6D95" wp14:editId="7A4EB86E">
                <wp:simplePos x="0" y="0"/>
                <wp:positionH relativeFrom="column">
                  <wp:posOffset>-510540</wp:posOffset>
                </wp:positionH>
                <wp:positionV relativeFrom="paragraph">
                  <wp:posOffset>252095</wp:posOffset>
                </wp:positionV>
                <wp:extent cx="6972300" cy="4162425"/>
                <wp:effectExtent l="76200" t="19050" r="76200" b="142875"/>
                <wp:wrapNone/>
                <wp:docPr id="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4162425"/>
                        </a:xfrm>
                        <a:prstGeom prst="roundRect">
                          <a:avLst/>
                        </a:prstGeom>
                        <a:noFill/>
                        <a:ln w="38100">
                          <a:solidFill>
                            <a:schemeClr val="accent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54230" id="Rounded Rectangle 3" o:spid="_x0000_s1026" style="position:absolute;margin-left:-40.2pt;margin-top:19.85pt;width:549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zX7QIAAE4GAAAOAAAAZHJzL2Uyb0RvYy54bWysVUtv2zAMvg/YfxB0X524SR9GnSJo0WFA&#10;0BVJh54VWY6NyaImKXGyXz9SdtyuC3YYloNgiq+Pn0jm5nbfaLZTztdgcj4+G3GmjISiNpucf3t+&#10;+HTFmQ/CFEKDUTk/KM9vZx8/3LQ2UylUoAvlGAYxPmttzqsQbJYkXlaqEf4MrDKoLME1IqDoNknh&#10;RIvRG52ko9FF0oIrrAOpvMfb+07JZzF+WSoZvpalV4HpnCO2EE8XzzWdyexGZBsnbFXLHob4BxSN&#10;qA0mHULdiyDY1tV/hGpq6cBDGc4kNAmUZS1VrAGrGY/eVbOqhFWxFiTH24Em///Cysfdk2N1kfOU&#10;MyMafKIlbE2hCrZE8oTZaMXOiabW+gytV/bJUaHeLkB+96hIftOQ4HubfekassUy2T5yfhg4V/vA&#10;JF5eXF+m5yN8Gom6yfginaRTSpeI7OhunQ+fFTSMPnLuCB+Bi4SL3cKHzv5oRykNPNRa473ItGFt&#10;zs+vxpglIgddF6SNAjWautOO7QS2iJBSmTDuAfhXS4SjDTmo2FSYkwTYBuVWVdGytd66pUAap6Mr&#10;qqaoCeogYMdNJyP6cSb0BkdFBseZg/BShyq+MzFzAtF6c0QzJIvkvMERH6DjPLIfDlpRJG2WqsS3&#10;RZbTU6GPxcaslShUx8E0wuwojXNI9MScMSBZl8jeEHv8t9hdmN6eXDvcg/PJmo/AOufBI2YGEwbn&#10;pjbgTmXXwxOWnX3fpb6jhlhaQ3HAzscXiI3prXyosb0Wwocn4XAH4EvhXgtf8Sg1YAdB/8VZBe7n&#10;qXuyx9FELWct7pSc+x9b4RRn+ovBob0eTyYYNkRhMr1MUXBvNeu3GrNt7gB7cowb1Mr4SfZBHz9L&#10;B80Lrr85ZUWVMBJz963VCXeh23W4QKWaz6MZLh4rwsKsrKTgxCpNzvP+RTjbz1jA8XyE4/4R2bsp&#10;62zJ08B8G6Cs4wi+8trzjUsrNk6/YGkrvpWj1evfwOwXAAAA//8DAFBLAwQUAAYACAAAACEA7v/h&#10;feMAAAALAQAADwAAAGRycy9kb3ducmV2LnhtbEyPwW7CMBBE75X6D9ZW6qUCJ9AGSLNBLVJ74FIR&#10;Ks5ObJJQex3FBpK/rzm1x9U8zbzN1oPR7KJ611pCiKcRMEWVlS3VCN/7j8kSmPOCpNCWFMKoHKzz&#10;+7tMpNJeaacuha9ZKCGXCoTG+y7l3FWNMsJNbacoZEfbG+HD2ddc9uIayo3msyhKuBEthYVGdGrT&#10;qOqnOBuEw357Or3P4+NGx4XbjV+f5dN4QHx8GN5egXk1+D8YbvpBHfLgVNozScc0wmQZPQcUYb5a&#10;ALsBUbxIgJUIyeplBjzP+P8f8l8AAAD//wMAUEsBAi0AFAAGAAgAAAAhALaDOJL+AAAA4QEAABMA&#10;AAAAAAAAAAAAAAAAAAAAAFtDb250ZW50X1R5cGVzXS54bWxQSwECLQAUAAYACAAAACEAOP0h/9YA&#10;AACUAQAACwAAAAAAAAAAAAAAAAAvAQAAX3JlbHMvLnJlbHNQSwECLQAUAAYACAAAACEAGLGc1+0C&#10;AABOBgAADgAAAAAAAAAAAAAAAAAuAgAAZHJzL2Uyb0RvYy54bWxQSwECLQAUAAYACAAAACEA7v/h&#10;feMAAAALAQAADwAAAAAAAAAAAAAAAABHBQAAZHJzL2Rvd25yZXYueG1sUEsFBgAAAAAEAAQA8wAA&#10;AFcGAAAAAA==&#10;" filled="f" strokecolor="#5b9bd5 [3204]" strokeweight="3pt">
                <v:stroke joinstyle="miter"/>
                <v:shadow on="t" color="white [3212]" offset="0,4pt"/>
                <v:path arrowok="t"/>
              </v:roundrect>
            </w:pict>
          </mc:Fallback>
        </mc:AlternateContent>
      </w:r>
    </w:p>
    <w:p w:rsidR="000F60FA" w:rsidRDefault="000F60FA" w:rsidP="000F60FA">
      <w:pPr>
        <w:rPr>
          <w:sz w:val="16"/>
          <w:szCs w:val="16"/>
        </w:rPr>
      </w:pPr>
    </w:p>
    <w:p w:rsidR="000F60FA" w:rsidRPr="000F60FA" w:rsidRDefault="000F60FA" w:rsidP="000F60FA">
      <w:pPr>
        <w:ind w:left="2880" w:firstLine="720"/>
        <w:rPr>
          <w:sz w:val="16"/>
          <w:szCs w:val="16"/>
        </w:rPr>
      </w:pPr>
      <w:r w:rsidRPr="002C1C38">
        <w:rPr>
          <w:rFonts w:cs="Arial"/>
          <w:b/>
          <w:color w:val="000000" w:themeColor="text1"/>
          <w:sz w:val="18"/>
          <w:szCs w:val="18"/>
        </w:rPr>
        <w:t>School vision and values</w:t>
      </w:r>
    </w:p>
    <w:p w:rsidR="000F60FA" w:rsidRPr="007D6599" w:rsidRDefault="000F60FA" w:rsidP="000F60FA">
      <w:pPr>
        <w:rPr>
          <w:rFonts w:cs="Arial"/>
          <w:sz w:val="18"/>
          <w:szCs w:val="18"/>
        </w:rPr>
      </w:pPr>
      <w:r w:rsidRPr="007D6599">
        <w:rPr>
          <w:rFonts w:cs="Arial"/>
          <w:color w:val="3A3A3A"/>
          <w:sz w:val="18"/>
          <w:szCs w:val="18"/>
          <w:shd w:val="clear" w:color="auto" w:fill="FFFFFF"/>
        </w:rPr>
        <w:t>At Queensbridge we aim to develop well rounded, confident and responsible individuals who aspire to achieve their full potential. We do this by providing a welcoming, inclusive, safe, and supportive learning environment in which everyone is equal and all achievements are celebrated.</w:t>
      </w:r>
    </w:p>
    <w:p w:rsidR="000F60FA" w:rsidRPr="007D6599" w:rsidRDefault="000F60FA" w:rsidP="000F60FA">
      <w:pPr>
        <w:rPr>
          <w:rFonts w:cs="Arial"/>
          <w:sz w:val="18"/>
          <w:szCs w:val="18"/>
        </w:rPr>
      </w:pPr>
    </w:p>
    <w:p w:rsidR="000F60FA" w:rsidRPr="007D6599" w:rsidRDefault="000F60FA" w:rsidP="000F60FA">
      <w:pPr>
        <w:rPr>
          <w:rFonts w:cs="Arial"/>
          <w:sz w:val="18"/>
          <w:szCs w:val="18"/>
        </w:rPr>
      </w:pPr>
      <w:r w:rsidRPr="007D6599">
        <w:rPr>
          <w:rFonts w:cs="Arial"/>
          <w:sz w:val="18"/>
          <w:szCs w:val="18"/>
        </w:rPr>
        <w:t>RESPECT</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are responsible for our actions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We are empathetic</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are inclusive </w:t>
      </w:r>
    </w:p>
    <w:p w:rsidR="000F60FA" w:rsidRPr="007D6599" w:rsidRDefault="000F60FA" w:rsidP="000F60FA">
      <w:pPr>
        <w:rPr>
          <w:rFonts w:cs="Arial"/>
          <w:sz w:val="18"/>
          <w:szCs w:val="18"/>
        </w:rPr>
      </w:pPr>
      <w:r w:rsidRPr="007D6599">
        <w:rPr>
          <w:rFonts w:cs="Arial"/>
          <w:sz w:val="18"/>
          <w:szCs w:val="18"/>
        </w:rPr>
        <w:t xml:space="preserve">COLLABORATION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are able to ask for and give support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are articulate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are a team </w:t>
      </w:r>
    </w:p>
    <w:p w:rsidR="000F60FA" w:rsidRPr="007D6599" w:rsidRDefault="000F60FA" w:rsidP="000F60FA">
      <w:pPr>
        <w:rPr>
          <w:rFonts w:cs="Arial"/>
          <w:sz w:val="18"/>
          <w:szCs w:val="18"/>
        </w:rPr>
      </w:pPr>
      <w:r w:rsidRPr="007D6599">
        <w:rPr>
          <w:rFonts w:cs="Arial"/>
          <w:sz w:val="18"/>
          <w:szCs w:val="18"/>
        </w:rPr>
        <w:t xml:space="preserve">PERSEVERANCE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don’t give up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celebrate our mistakes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are ambitious </w:t>
      </w:r>
    </w:p>
    <w:p w:rsidR="000F60FA" w:rsidRPr="007D6599" w:rsidRDefault="000F60FA" w:rsidP="000F60FA">
      <w:pPr>
        <w:rPr>
          <w:rFonts w:cs="Arial"/>
          <w:sz w:val="18"/>
          <w:szCs w:val="18"/>
        </w:rPr>
      </w:pPr>
      <w:r w:rsidRPr="007D6599">
        <w:rPr>
          <w:rFonts w:cs="Arial"/>
          <w:sz w:val="18"/>
          <w:szCs w:val="18"/>
        </w:rPr>
        <w:t xml:space="preserve">POSSIBILITIES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are globally aware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are forward thinking </w:t>
      </w:r>
    </w:p>
    <w:p w:rsidR="000F60FA" w:rsidRPr="007D6599" w:rsidRDefault="000F60FA" w:rsidP="000F60FA">
      <w:pPr>
        <w:pStyle w:val="ListParagraph"/>
        <w:numPr>
          <w:ilvl w:val="0"/>
          <w:numId w:val="6"/>
        </w:numPr>
        <w:rPr>
          <w:rFonts w:cs="Arial"/>
          <w:sz w:val="18"/>
          <w:szCs w:val="18"/>
        </w:rPr>
      </w:pPr>
      <w:r w:rsidRPr="007D6599">
        <w:rPr>
          <w:rFonts w:cs="Arial"/>
          <w:sz w:val="18"/>
          <w:szCs w:val="18"/>
        </w:rPr>
        <w:t xml:space="preserve">We are curious </w:t>
      </w:r>
    </w:p>
    <w:p w:rsidR="000F60FA" w:rsidRDefault="000F60FA" w:rsidP="00FA63EA">
      <w:pPr>
        <w:rPr>
          <w:sz w:val="16"/>
          <w:szCs w:val="16"/>
        </w:rPr>
      </w:pPr>
    </w:p>
    <w:p w:rsidR="000F60FA" w:rsidRDefault="000F60FA" w:rsidP="00FA63EA">
      <w:pPr>
        <w:rPr>
          <w:sz w:val="16"/>
          <w:szCs w:val="16"/>
        </w:rPr>
      </w:pPr>
    </w:p>
    <w:p w:rsidR="000F60FA" w:rsidRDefault="000F60FA" w:rsidP="00FA63EA">
      <w:pPr>
        <w:rPr>
          <w:b/>
          <w:sz w:val="28"/>
        </w:rPr>
      </w:pPr>
    </w:p>
    <w:p w:rsidR="00FA63EA" w:rsidRPr="0011435C" w:rsidRDefault="00FA63EA" w:rsidP="00FA63EA">
      <w:pPr>
        <w:rPr>
          <w:b/>
          <w:sz w:val="28"/>
        </w:rPr>
      </w:pPr>
      <w:r w:rsidRPr="0011435C">
        <w:rPr>
          <w:b/>
          <w:sz w:val="28"/>
        </w:rPr>
        <w:t>Contents</w:t>
      </w:r>
    </w:p>
    <w:p w:rsidR="00FA63EA" w:rsidRPr="001757ED" w:rsidRDefault="00FA63EA" w:rsidP="00FA63EA">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_Toc491429308 \h </w:instrText>
      </w:r>
      <w:r>
        <w:rPr>
          <w:noProof/>
        </w:rPr>
      </w:r>
      <w:r>
        <w:rPr>
          <w:noProof/>
        </w:rPr>
        <w:fldChar w:fldCharType="separate"/>
      </w:r>
      <w:r>
        <w:rPr>
          <w:noProof/>
        </w:rPr>
        <w:t>3</w:t>
      </w:r>
      <w:r>
        <w:rPr>
          <w:noProof/>
        </w:rPr>
        <w:fldChar w:fldCharType="end"/>
      </w:r>
    </w:p>
    <w:p w:rsidR="00FA63EA" w:rsidRPr="001757ED" w:rsidRDefault="00FA63EA" w:rsidP="00FA63EA">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_Toc491429309 \h </w:instrText>
      </w:r>
      <w:r>
        <w:rPr>
          <w:noProof/>
        </w:rPr>
      </w:r>
      <w:r>
        <w:rPr>
          <w:noProof/>
        </w:rPr>
        <w:fldChar w:fldCharType="separate"/>
      </w:r>
      <w:r>
        <w:rPr>
          <w:noProof/>
        </w:rPr>
        <w:t>3</w:t>
      </w:r>
      <w:r>
        <w:rPr>
          <w:noProof/>
        </w:rPr>
        <w:fldChar w:fldCharType="end"/>
      </w:r>
    </w:p>
    <w:p w:rsidR="00FA63EA" w:rsidRPr="001757ED" w:rsidRDefault="00FA63EA" w:rsidP="00FA63EA">
      <w:pPr>
        <w:pStyle w:val="TOC1"/>
        <w:rPr>
          <w:rFonts w:ascii="Calibri" w:eastAsia="Times New Roman" w:hAnsi="Calibri"/>
          <w:noProof/>
          <w:szCs w:val="22"/>
          <w:lang w:val="en-GB" w:eastAsia="en-GB"/>
        </w:rPr>
      </w:pPr>
      <w:r>
        <w:rPr>
          <w:noProof/>
        </w:rPr>
        <w:t>3. Action plan</w:t>
      </w:r>
      <w:r>
        <w:rPr>
          <w:noProof/>
        </w:rPr>
        <w:tab/>
      </w:r>
      <w:r>
        <w:rPr>
          <w:noProof/>
        </w:rPr>
        <w:fldChar w:fldCharType="begin"/>
      </w:r>
      <w:r>
        <w:rPr>
          <w:noProof/>
        </w:rPr>
        <w:instrText xml:space="preserve"> PAGEREF _Toc491429310 \h </w:instrText>
      </w:r>
      <w:r>
        <w:rPr>
          <w:noProof/>
        </w:rPr>
      </w:r>
      <w:r>
        <w:rPr>
          <w:noProof/>
        </w:rPr>
        <w:fldChar w:fldCharType="separate"/>
      </w:r>
      <w:r>
        <w:rPr>
          <w:noProof/>
        </w:rPr>
        <w:t>4</w:t>
      </w:r>
      <w:r>
        <w:rPr>
          <w:noProof/>
        </w:rPr>
        <w:fldChar w:fldCharType="end"/>
      </w:r>
    </w:p>
    <w:p w:rsidR="00FA63EA" w:rsidRPr="001757ED" w:rsidRDefault="00FA63EA" w:rsidP="00FA63EA">
      <w:pPr>
        <w:pStyle w:val="TOC1"/>
        <w:rPr>
          <w:rFonts w:ascii="Calibri" w:eastAsia="Times New Roman" w:hAnsi="Calibri"/>
          <w:noProof/>
          <w:szCs w:val="22"/>
          <w:lang w:val="en-GB" w:eastAsia="en-GB"/>
        </w:rPr>
      </w:pPr>
      <w:r>
        <w:rPr>
          <w:noProof/>
        </w:rPr>
        <w:t>4. Monitoring arrangements</w:t>
      </w:r>
      <w:r>
        <w:rPr>
          <w:noProof/>
        </w:rPr>
        <w:tab/>
      </w:r>
      <w:r>
        <w:rPr>
          <w:noProof/>
        </w:rPr>
        <w:fldChar w:fldCharType="begin"/>
      </w:r>
      <w:r>
        <w:rPr>
          <w:noProof/>
        </w:rPr>
        <w:instrText xml:space="preserve"> PAGEREF _Toc491429311 \h </w:instrText>
      </w:r>
      <w:r>
        <w:rPr>
          <w:noProof/>
        </w:rPr>
      </w:r>
      <w:r>
        <w:rPr>
          <w:noProof/>
        </w:rPr>
        <w:fldChar w:fldCharType="separate"/>
      </w:r>
      <w:r>
        <w:rPr>
          <w:noProof/>
        </w:rPr>
        <w:t>6</w:t>
      </w:r>
      <w:r>
        <w:rPr>
          <w:noProof/>
        </w:rPr>
        <w:fldChar w:fldCharType="end"/>
      </w:r>
    </w:p>
    <w:p w:rsidR="00FA63EA" w:rsidRPr="001757ED" w:rsidRDefault="00FA63EA" w:rsidP="00FA63EA">
      <w:pPr>
        <w:pStyle w:val="TOC1"/>
        <w:rPr>
          <w:rFonts w:ascii="Calibri" w:eastAsia="Times New Roman" w:hAnsi="Calibri"/>
          <w:noProof/>
          <w:szCs w:val="22"/>
          <w:lang w:val="en-GB" w:eastAsia="en-GB"/>
        </w:rPr>
      </w:pPr>
      <w:r>
        <w:rPr>
          <w:noProof/>
        </w:rPr>
        <w:t>5. Links with other policies</w:t>
      </w:r>
      <w:r>
        <w:rPr>
          <w:noProof/>
        </w:rPr>
        <w:tab/>
      </w:r>
      <w:r>
        <w:rPr>
          <w:noProof/>
        </w:rPr>
        <w:fldChar w:fldCharType="begin"/>
      </w:r>
      <w:r>
        <w:rPr>
          <w:noProof/>
        </w:rPr>
        <w:instrText xml:space="preserve"> PAGEREF _Toc491429312 \h </w:instrText>
      </w:r>
      <w:r>
        <w:rPr>
          <w:noProof/>
        </w:rPr>
      </w:r>
      <w:r>
        <w:rPr>
          <w:noProof/>
        </w:rPr>
        <w:fldChar w:fldCharType="separate"/>
      </w:r>
      <w:r>
        <w:rPr>
          <w:noProof/>
        </w:rPr>
        <w:t>6</w:t>
      </w:r>
      <w:r>
        <w:rPr>
          <w:noProof/>
        </w:rPr>
        <w:fldChar w:fldCharType="end"/>
      </w:r>
    </w:p>
    <w:p w:rsidR="00FA63EA" w:rsidRPr="001757ED" w:rsidRDefault="00FA63EA" w:rsidP="00FA63EA">
      <w:pPr>
        <w:pStyle w:val="TOC1"/>
        <w:rPr>
          <w:rFonts w:ascii="Calibri" w:eastAsia="Times New Roman" w:hAnsi="Calibri"/>
          <w:noProof/>
          <w:szCs w:val="22"/>
          <w:lang w:val="en-GB" w:eastAsia="en-GB"/>
        </w:rPr>
      </w:pPr>
      <w:r>
        <w:rPr>
          <w:noProof/>
        </w:rPr>
        <w:t>Appendix 1: Accessibility audit</w:t>
      </w:r>
      <w:r>
        <w:rPr>
          <w:noProof/>
        </w:rPr>
        <w:tab/>
      </w:r>
      <w:r>
        <w:rPr>
          <w:noProof/>
        </w:rPr>
        <w:fldChar w:fldCharType="begin"/>
      </w:r>
      <w:r>
        <w:rPr>
          <w:noProof/>
        </w:rPr>
        <w:instrText xml:space="preserve"> PAGEREF _Toc491429313 \h </w:instrText>
      </w:r>
      <w:r>
        <w:rPr>
          <w:noProof/>
        </w:rPr>
      </w:r>
      <w:r>
        <w:rPr>
          <w:noProof/>
        </w:rPr>
        <w:fldChar w:fldCharType="separate"/>
      </w:r>
      <w:r>
        <w:rPr>
          <w:noProof/>
        </w:rPr>
        <w:t>7</w:t>
      </w:r>
      <w:r>
        <w:rPr>
          <w:noProof/>
        </w:rPr>
        <w:fldChar w:fldCharType="end"/>
      </w:r>
    </w:p>
    <w:p w:rsidR="00FA63EA" w:rsidRDefault="00FA63EA" w:rsidP="00FA63EA">
      <w:r>
        <w:rPr>
          <w:sz w:val="22"/>
        </w:rPr>
        <w:fldChar w:fldCharType="end"/>
      </w:r>
    </w:p>
    <w:p w:rsidR="00FA63EA" w:rsidRPr="00042646" w:rsidRDefault="00FA63EA" w:rsidP="00FA63EA">
      <w:pPr>
        <w:rPr>
          <w:b/>
        </w:rPr>
      </w:pPr>
      <w:r w:rsidRPr="00042646">
        <w:rPr>
          <w:b/>
        </w:rPr>
        <w:t>…………………………………………………………………………………………………………………………….</w:t>
      </w:r>
    </w:p>
    <w:p w:rsidR="00FA63EA" w:rsidRPr="0011435C" w:rsidRDefault="00FA63EA" w:rsidP="00FA63EA">
      <w:pPr>
        <w:pStyle w:val="Heading1"/>
      </w:pPr>
      <w:bookmarkStart w:id="1" w:name="_Toc491429308"/>
      <w:r w:rsidRPr="0011435C">
        <w:t xml:space="preserve">1. </w:t>
      </w:r>
      <w:bookmarkEnd w:id="0"/>
      <w:r>
        <w:t>Aims</w:t>
      </w:r>
      <w:bookmarkEnd w:id="1"/>
    </w:p>
    <w:p w:rsidR="00FA63EA" w:rsidRPr="00B86345" w:rsidRDefault="00FA63EA" w:rsidP="00FA63EA">
      <w:pPr>
        <w:rPr>
          <w:rFonts w:cs="Arial"/>
          <w:color w:val="ED7D31"/>
          <w:szCs w:val="20"/>
        </w:rPr>
      </w:pPr>
      <w:r>
        <w:rPr>
          <w:rFonts w:cs="Arial"/>
          <w:szCs w:val="20"/>
        </w:rPr>
        <w:t xml:space="preserve">Schools are required under the Equality Act 2010 to have an accessibility plan. The purpose of the </w:t>
      </w:r>
      <w:r w:rsidRPr="00173ECF">
        <w:rPr>
          <w:rFonts w:cs="Arial"/>
          <w:szCs w:val="20"/>
        </w:rPr>
        <w:t>plan is to</w:t>
      </w:r>
      <w:r w:rsidRPr="00B86345">
        <w:rPr>
          <w:rFonts w:cs="Arial"/>
          <w:color w:val="ED7D31"/>
          <w:szCs w:val="20"/>
        </w:rPr>
        <w:t>:</w:t>
      </w:r>
    </w:p>
    <w:p w:rsidR="00FA63EA" w:rsidRPr="003733D6" w:rsidRDefault="00FA63EA" w:rsidP="00FA63EA">
      <w:pPr>
        <w:numPr>
          <w:ilvl w:val="0"/>
          <w:numId w:val="1"/>
        </w:numPr>
        <w:shd w:val="clear" w:color="auto" w:fill="FFFFFF"/>
        <w:spacing w:before="161" w:after="161"/>
        <w:rPr>
          <w:rFonts w:eastAsia="Times New Roman" w:cs="Arial"/>
          <w:szCs w:val="20"/>
          <w:lang w:eastAsia="en-GB"/>
        </w:rPr>
      </w:pPr>
      <w:r>
        <w:rPr>
          <w:rFonts w:eastAsia="Times New Roman" w:cs="Arial"/>
          <w:szCs w:val="20"/>
          <w:lang w:eastAsia="en-GB"/>
        </w:rPr>
        <w:t>Increase</w:t>
      </w:r>
      <w:r w:rsidRPr="003733D6">
        <w:rPr>
          <w:rFonts w:eastAsia="Times New Roman" w:cs="Arial"/>
          <w:szCs w:val="20"/>
          <w:lang w:eastAsia="en-GB"/>
        </w:rPr>
        <w:t xml:space="preserve"> the extent to which </w:t>
      </w:r>
      <w:r>
        <w:rPr>
          <w:rFonts w:eastAsia="Times New Roman" w:cs="Arial"/>
          <w:szCs w:val="20"/>
          <w:lang w:eastAsia="en-GB"/>
        </w:rPr>
        <w:t>SEND</w:t>
      </w:r>
      <w:r w:rsidRPr="003733D6">
        <w:rPr>
          <w:rFonts w:eastAsia="Times New Roman" w:cs="Arial"/>
          <w:szCs w:val="20"/>
          <w:lang w:eastAsia="en-GB"/>
        </w:rPr>
        <w:t xml:space="preserve"> pupils can participate in the curriculum</w:t>
      </w:r>
    </w:p>
    <w:p w:rsidR="00FA63EA" w:rsidRPr="003733D6" w:rsidRDefault="00FA63EA" w:rsidP="00FA63EA">
      <w:pPr>
        <w:numPr>
          <w:ilvl w:val="0"/>
          <w:numId w:val="2"/>
        </w:numPr>
        <w:shd w:val="clear" w:color="auto" w:fill="FFFFFF"/>
        <w:spacing w:before="161" w:after="161"/>
        <w:rPr>
          <w:rFonts w:eastAsia="Times New Roman" w:cs="Arial"/>
          <w:szCs w:val="20"/>
          <w:lang w:eastAsia="en-GB"/>
        </w:rPr>
      </w:pPr>
      <w:r>
        <w:rPr>
          <w:rFonts w:eastAsia="Times New Roman" w:cs="Arial"/>
          <w:szCs w:val="20"/>
          <w:lang w:eastAsia="en-GB"/>
        </w:rPr>
        <w:lastRenderedPageBreak/>
        <w:t>Improve</w:t>
      </w:r>
      <w:r w:rsidRPr="003733D6">
        <w:rPr>
          <w:rFonts w:eastAsia="Times New Roman" w:cs="Arial"/>
          <w:szCs w:val="20"/>
          <w:lang w:eastAsia="en-GB"/>
        </w:rPr>
        <w:t xml:space="preserve"> the physical environment of</w:t>
      </w:r>
      <w:r>
        <w:rPr>
          <w:rFonts w:eastAsia="Times New Roman" w:cs="Arial"/>
          <w:szCs w:val="20"/>
          <w:lang w:eastAsia="en-GB"/>
        </w:rPr>
        <w:t xml:space="preserve"> the</w:t>
      </w:r>
      <w:r w:rsidRPr="003733D6">
        <w:rPr>
          <w:rFonts w:eastAsia="Times New Roman" w:cs="Arial"/>
          <w:szCs w:val="20"/>
          <w:lang w:eastAsia="en-GB"/>
        </w:rPr>
        <w:t xml:space="preserve"> school to enable </w:t>
      </w:r>
      <w:r>
        <w:rPr>
          <w:rFonts w:eastAsia="Times New Roman" w:cs="Arial"/>
          <w:szCs w:val="20"/>
          <w:lang w:eastAsia="en-GB"/>
        </w:rPr>
        <w:t>SEND</w:t>
      </w:r>
      <w:r w:rsidRPr="003733D6">
        <w:rPr>
          <w:rFonts w:eastAsia="Times New Roman" w:cs="Arial"/>
          <w:szCs w:val="20"/>
          <w:lang w:eastAsia="en-GB"/>
        </w:rPr>
        <w:t xml:space="preserve"> pupils to take better advantage of education, benefits, facilities and services provided</w:t>
      </w:r>
    </w:p>
    <w:p w:rsidR="00FA63EA" w:rsidRPr="003733D6" w:rsidRDefault="00FA63EA" w:rsidP="00FA63EA">
      <w:pPr>
        <w:numPr>
          <w:ilvl w:val="0"/>
          <w:numId w:val="2"/>
        </w:numPr>
        <w:shd w:val="clear" w:color="auto" w:fill="FFFFFF"/>
        <w:spacing w:before="161" w:after="161"/>
        <w:rPr>
          <w:rFonts w:eastAsia="Times New Roman" w:cs="Arial"/>
          <w:szCs w:val="20"/>
          <w:lang w:eastAsia="en-GB"/>
        </w:rPr>
      </w:pPr>
      <w:r>
        <w:rPr>
          <w:rFonts w:eastAsia="Times New Roman" w:cs="Arial"/>
          <w:szCs w:val="20"/>
          <w:lang w:eastAsia="en-GB"/>
        </w:rPr>
        <w:t>Improve</w:t>
      </w:r>
      <w:r w:rsidRPr="003733D6">
        <w:rPr>
          <w:rFonts w:eastAsia="Times New Roman" w:cs="Arial"/>
          <w:szCs w:val="20"/>
          <w:lang w:eastAsia="en-GB"/>
        </w:rPr>
        <w:t xml:space="preserve"> the availability of accessible information to </w:t>
      </w:r>
      <w:r>
        <w:rPr>
          <w:rFonts w:eastAsia="Times New Roman" w:cs="Arial"/>
          <w:szCs w:val="20"/>
          <w:lang w:eastAsia="en-GB"/>
        </w:rPr>
        <w:t>SEND</w:t>
      </w:r>
      <w:r w:rsidRPr="003733D6">
        <w:rPr>
          <w:rFonts w:eastAsia="Times New Roman" w:cs="Arial"/>
          <w:szCs w:val="20"/>
          <w:lang w:eastAsia="en-GB"/>
        </w:rPr>
        <w:t xml:space="preserve"> pupils</w:t>
      </w:r>
    </w:p>
    <w:p w:rsidR="00FA63EA" w:rsidRDefault="00FA63EA" w:rsidP="00FA63EA">
      <w:pPr>
        <w:rPr>
          <w:rFonts w:cs="Arial"/>
          <w:szCs w:val="20"/>
        </w:rPr>
      </w:pPr>
      <w:r>
        <w:rPr>
          <w:rFonts w:cs="Arial"/>
          <w:szCs w:val="20"/>
        </w:rPr>
        <w:t>Our school aims to treat all its pupils fairly and with respect. This involves providing access and opportunities for all pupils without discrimination of any kind.</w:t>
      </w:r>
    </w:p>
    <w:p w:rsidR="00FA63EA" w:rsidRPr="00566E3A" w:rsidRDefault="00FA63EA" w:rsidP="00FA63EA">
      <w:pPr>
        <w:rPr>
          <w:rFonts w:cs="Arial"/>
          <w:szCs w:val="22"/>
          <w:lang w:eastAsia="en-GB"/>
        </w:rPr>
      </w:pPr>
      <w:r w:rsidRPr="00566E3A">
        <w:t>The Queensbridge School Values</w:t>
      </w:r>
      <w:r>
        <w:t xml:space="preserve"> are</w:t>
      </w:r>
      <w:r w:rsidRPr="00566E3A">
        <w:t>;</w:t>
      </w:r>
      <w:r>
        <w:rPr>
          <w:i/>
        </w:rPr>
        <w:t xml:space="preserve"> Collaboration, Respect, Perseverance and Possibilities. </w:t>
      </w:r>
      <w:r w:rsidRPr="00566E3A">
        <w:t>We pride ourselves on our inclusion and by abiding the Equality Act of 2010.</w:t>
      </w:r>
      <w:r>
        <w:rPr>
          <w:i/>
        </w:rPr>
        <w:t xml:space="preserve"> </w:t>
      </w:r>
      <w:r w:rsidRPr="00566E3A">
        <w:rPr>
          <w:rFonts w:cs="Arial"/>
          <w:szCs w:val="22"/>
          <w:lang w:eastAsia="en-GB"/>
        </w:rPr>
        <w:t>Queensbridge Primary School is a safe, welcoming and nurturing school that offers a sense of belonging</w:t>
      </w:r>
      <w:r>
        <w:rPr>
          <w:rFonts w:cs="Arial"/>
          <w:szCs w:val="22"/>
          <w:lang w:eastAsia="en-GB"/>
        </w:rPr>
        <w:t xml:space="preserve"> to all children and adults regardless of need</w:t>
      </w:r>
      <w:r w:rsidRPr="00566E3A">
        <w:rPr>
          <w:rFonts w:cs="Arial"/>
          <w:szCs w:val="22"/>
          <w:lang w:eastAsia="en-GB"/>
        </w:rPr>
        <w:t>.  We work with families to ensure that all achieve their potential across our diverse community having relentless high expectations of ourselves and others.</w:t>
      </w:r>
    </w:p>
    <w:p w:rsidR="00FA63EA" w:rsidRPr="00566E3A" w:rsidRDefault="00FA63EA" w:rsidP="00FA63EA">
      <w:pPr>
        <w:rPr>
          <w:rFonts w:cs="Arial"/>
          <w:szCs w:val="22"/>
          <w:lang w:eastAsia="en-GB"/>
        </w:rPr>
      </w:pPr>
      <w:r w:rsidRPr="00566E3A">
        <w:rPr>
          <w:rFonts w:cs="Arial"/>
          <w:szCs w:val="22"/>
          <w:lang w:eastAsia="en-GB"/>
        </w:rPr>
        <w:br/>
        <w:t>We are innovative, creative and consistent in our approach, constantly reflecting on our practice.  We try to make learning creative, stimulating, inclusive and fun with lots of challenge setting ambitious goals for the future.</w:t>
      </w:r>
    </w:p>
    <w:p w:rsidR="00FA63EA" w:rsidRPr="00566E3A" w:rsidRDefault="00FA63EA" w:rsidP="00FA63EA">
      <w:pPr>
        <w:pStyle w:val="Caption1"/>
        <w:rPr>
          <w:i w:val="0"/>
          <w:color w:val="auto"/>
          <w:sz w:val="18"/>
        </w:rPr>
      </w:pPr>
      <w:r w:rsidRPr="00566E3A">
        <w:rPr>
          <w:rFonts w:cs="Arial"/>
          <w:i w:val="0"/>
          <w:color w:val="auto"/>
          <w:szCs w:val="22"/>
          <w:lang w:eastAsia="en-GB"/>
        </w:rPr>
        <w:t>We try to provide a vast range of opportunities to light the spark of their learning giving them the skills and tools they need to</w:t>
      </w:r>
      <w:r>
        <w:rPr>
          <w:rFonts w:cs="Arial"/>
          <w:i w:val="0"/>
          <w:color w:val="auto"/>
          <w:szCs w:val="22"/>
          <w:lang w:eastAsia="en-GB"/>
        </w:rPr>
        <w:t xml:space="preserve"> fully achieve their potential.</w:t>
      </w:r>
    </w:p>
    <w:p w:rsidR="00FA63EA" w:rsidRDefault="00FA63EA" w:rsidP="00FA63EA">
      <w:pPr>
        <w:rPr>
          <w:rFonts w:cs="Arial"/>
          <w:szCs w:val="20"/>
        </w:rPr>
      </w:pPr>
      <w:r>
        <w:rPr>
          <w:rFonts w:cs="Arial"/>
          <w:szCs w:val="20"/>
        </w:rPr>
        <w:t>The Accessibility Plan will be made available online on the school website, and paper copies are available upon request.</w:t>
      </w:r>
    </w:p>
    <w:p w:rsidR="00FA63EA" w:rsidRDefault="00FA63EA" w:rsidP="00FA63EA">
      <w:pPr>
        <w:rPr>
          <w:rFonts w:cs="Arial"/>
          <w:szCs w:val="20"/>
        </w:rPr>
      </w:pPr>
      <w:r>
        <w:rPr>
          <w:rFonts w:cs="Arial"/>
          <w:szCs w:val="20"/>
        </w:rPr>
        <w:t>Our school is also committed to ensuring staff are trained in equality issues with reference to the Equality Act 2010, including understanding disability issues.</w:t>
      </w:r>
    </w:p>
    <w:p w:rsidR="00FA63EA" w:rsidRDefault="00FA63EA" w:rsidP="00FA63EA">
      <w:pPr>
        <w:rPr>
          <w:rFonts w:cs="Arial"/>
          <w:szCs w:val="20"/>
        </w:rPr>
      </w:pPr>
      <w:r>
        <w:rPr>
          <w:rFonts w:cs="Arial"/>
          <w:szCs w:val="20"/>
        </w:rPr>
        <w:t>The school supports any available partnerships to develop and implement the plan.</w:t>
      </w:r>
    </w:p>
    <w:p w:rsidR="00FA63EA" w:rsidRPr="00E85DB1" w:rsidRDefault="00FA63EA" w:rsidP="00FA63EA">
      <w:r>
        <w:t>You can find relevant information at the hackney Learning trust website on the Local Offer</w:t>
      </w:r>
    </w:p>
    <w:p w:rsidR="00FA63EA" w:rsidRDefault="000E674B" w:rsidP="00FA63EA">
      <w:pPr>
        <w:rPr>
          <w:i/>
        </w:rPr>
      </w:pPr>
      <w:hyperlink r:id="rId7" w:history="1">
        <w:r w:rsidR="00FA63EA" w:rsidRPr="007A4669">
          <w:rPr>
            <w:rStyle w:val="Hyperlink"/>
            <w:i/>
          </w:rPr>
          <w:t>http://www.hackneylocaloffer.co.uk/kb5/hackney/localoffer/home.page</w:t>
        </w:r>
      </w:hyperlink>
    </w:p>
    <w:p w:rsidR="00FA63EA" w:rsidRDefault="00FA63EA" w:rsidP="00FA63EA">
      <w:pPr>
        <w:rPr>
          <w:rFonts w:cs="Arial"/>
          <w:szCs w:val="20"/>
        </w:rPr>
      </w:pPr>
      <w:r w:rsidRPr="00E85DB1">
        <w:rPr>
          <w:rFonts w:cs="Arial"/>
          <w:szCs w:val="20"/>
        </w:rPr>
        <w:t>Our</w:t>
      </w:r>
      <w:r>
        <w:rPr>
          <w:rFonts w:cs="Arial"/>
          <w:szCs w:val="20"/>
        </w:rPr>
        <w:t xml:space="preserve"> school’s complaints procedure covers the accessibility plan. If you have any concerns relating to accessibility in school, this procedure sets out the process for raising these concerns.</w:t>
      </w:r>
    </w:p>
    <w:p w:rsidR="00FA63EA" w:rsidRDefault="00FA63EA" w:rsidP="00FA63EA">
      <w:pPr>
        <w:pStyle w:val="Caption1"/>
      </w:pPr>
      <w:r w:rsidRPr="000244E5">
        <w:rPr>
          <w:i w:val="0"/>
          <w:color w:val="auto"/>
        </w:rPr>
        <w:t>We have included a range of stakeholders in the development of this accessibility plan, including</w:t>
      </w:r>
      <w:r>
        <w:rPr>
          <w:i w:val="0"/>
          <w:color w:val="auto"/>
        </w:rPr>
        <w:t xml:space="preserve"> pupils, parents/careers, staff and governors of the school.</w:t>
      </w:r>
    </w:p>
    <w:p w:rsidR="00FA63EA" w:rsidRPr="0011435C" w:rsidRDefault="00FA63EA" w:rsidP="00FA63EA">
      <w:pPr>
        <w:pStyle w:val="Heading1"/>
      </w:pPr>
      <w:bookmarkStart w:id="2" w:name="_Toc491429309"/>
      <w:r>
        <w:t>2</w:t>
      </w:r>
      <w:r w:rsidRPr="0011435C">
        <w:t xml:space="preserve">. </w:t>
      </w:r>
      <w:r>
        <w:t>Legislation and guidance</w:t>
      </w:r>
      <w:bookmarkEnd w:id="2"/>
    </w:p>
    <w:p w:rsidR="00FA63EA" w:rsidRDefault="00FA63EA" w:rsidP="00FA63EA">
      <w:pPr>
        <w:spacing w:after="0"/>
        <w:rPr>
          <w:rFonts w:cs="Arial"/>
          <w:szCs w:val="20"/>
          <w:shd w:val="clear" w:color="auto" w:fill="FFFFFF"/>
        </w:rPr>
      </w:pPr>
      <w:r w:rsidRPr="00C87FAE">
        <w:rPr>
          <w:rFonts w:cs="Arial"/>
          <w:szCs w:val="20"/>
          <w:shd w:val="clear" w:color="auto" w:fill="FFFFFF"/>
        </w:rPr>
        <w:t xml:space="preserve">This document meets the requirements of </w:t>
      </w:r>
      <w:hyperlink r:id="rId8" w:history="1">
        <w:r w:rsidRPr="00FC0D6E">
          <w:rPr>
            <w:rStyle w:val="Hyperlink"/>
            <w:rFonts w:cs="Arial"/>
            <w:szCs w:val="20"/>
            <w:shd w:val="clear" w:color="auto" w:fill="FFFFFF"/>
          </w:rPr>
          <w:t>schedule 10 of the Equality Act 2010</w:t>
        </w:r>
      </w:hyperlink>
      <w:r>
        <w:rPr>
          <w:rFonts w:cs="Arial"/>
          <w:szCs w:val="20"/>
          <w:shd w:val="clear" w:color="auto" w:fill="FFFFFF"/>
        </w:rPr>
        <w:t xml:space="preserve"> and the Department for Education (DfE) </w:t>
      </w:r>
      <w:hyperlink r:id="rId9" w:history="1">
        <w:r w:rsidRPr="00FC0D6E">
          <w:rPr>
            <w:rStyle w:val="Hyperlink"/>
            <w:rFonts w:cs="Arial"/>
            <w:szCs w:val="20"/>
            <w:shd w:val="clear" w:color="auto" w:fill="FFFFFF"/>
          </w:rPr>
          <w:t xml:space="preserve">guidance </w:t>
        </w:r>
        <w:r>
          <w:rPr>
            <w:rStyle w:val="Hyperlink"/>
            <w:rFonts w:cs="Arial"/>
            <w:szCs w:val="20"/>
            <w:shd w:val="clear" w:color="auto" w:fill="FFFFFF"/>
          </w:rPr>
          <w:t xml:space="preserve">for schools </w:t>
        </w:r>
        <w:r w:rsidRPr="00FC0D6E">
          <w:rPr>
            <w:rStyle w:val="Hyperlink"/>
            <w:rFonts w:cs="Arial"/>
            <w:szCs w:val="20"/>
            <w:shd w:val="clear" w:color="auto" w:fill="FFFFFF"/>
          </w:rPr>
          <w:t>on the Equality Act 2010</w:t>
        </w:r>
      </w:hyperlink>
      <w:r>
        <w:rPr>
          <w:rFonts w:cs="Arial"/>
          <w:szCs w:val="20"/>
          <w:shd w:val="clear" w:color="auto" w:fill="FFFFFF"/>
        </w:rPr>
        <w:t>.</w:t>
      </w:r>
    </w:p>
    <w:p w:rsidR="00FA63EA" w:rsidRDefault="00FA63EA" w:rsidP="00FA63EA">
      <w:pPr>
        <w:spacing w:after="0"/>
        <w:rPr>
          <w:rFonts w:cs="Arial"/>
          <w:szCs w:val="20"/>
          <w:shd w:val="clear" w:color="auto" w:fill="FFFFFF"/>
        </w:rPr>
      </w:pPr>
      <w:r>
        <w:rPr>
          <w:rFonts w:cs="Arial"/>
          <w:szCs w:val="20"/>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FA63EA" w:rsidRDefault="00FA63EA" w:rsidP="00FA63EA">
      <w:pPr>
        <w:spacing w:after="0"/>
        <w:rPr>
          <w:rFonts w:cs="Arial"/>
          <w:szCs w:val="20"/>
          <w:shd w:val="clear" w:color="auto" w:fill="FFFFFF"/>
        </w:rPr>
      </w:pPr>
      <w:r>
        <w:rPr>
          <w:rFonts w:cs="Arial"/>
          <w:szCs w:val="20"/>
          <w:shd w:val="clear" w:color="auto" w:fill="FFFFFF"/>
        </w:rPr>
        <w:t xml:space="preserve">Under the </w:t>
      </w:r>
      <w:hyperlink r:id="rId10" w:history="1">
        <w:r w:rsidRPr="00FC0D6E">
          <w:rPr>
            <w:rStyle w:val="Hyperlink"/>
            <w:rFonts w:cs="Arial"/>
            <w:szCs w:val="20"/>
            <w:shd w:val="clear" w:color="auto" w:fill="FFFFFF"/>
          </w:rPr>
          <w:t xml:space="preserve">Special Educational Needs and Disability (SEND) </w:t>
        </w:r>
        <w:r>
          <w:rPr>
            <w:rStyle w:val="Hyperlink"/>
            <w:rFonts w:cs="Arial"/>
            <w:szCs w:val="20"/>
            <w:shd w:val="clear" w:color="auto" w:fill="FFFFFF"/>
          </w:rPr>
          <w:t>C</w:t>
        </w:r>
        <w:r w:rsidRPr="00FC0D6E">
          <w:rPr>
            <w:rStyle w:val="Hyperlink"/>
            <w:rFonts w:cs="Arial"/>
            <w:szCs w:val="20"/>
            <w:shd w:val="clear" w:color="auto" w:fill="FFFFFF"/>
          </w:rPr>
          <w:t xml:space="preserve">ode of </w:t>
        </w:r>
        <w:r>
          <w:rPr>
            <w:rStyle w:val="Hyperlink"/>
            <w:rFonts w:cs="Arial"/>
            <w:szCs w:val="20"/>
            <w:shd w:val="clear" w:color="auto" w:fill="FFFFFF"/>
          </w:rPr>
          <w:t>P</w:t>
        </w:r>
        <w:r w:rsidRPr="00FC0D6E">
          <w:rPr>
            <w:rStyle w:val="Hyperlink"/>
            <w:rFonts w:cs="Arial"/>
            <w:szCs w:val="20"/>
            <w:shd w:val="clear" w:color="auto" w:fill="FFFFFF"/>
          </w:rPr>
          <w:t>ractice</w:t>
        </w:r>
      </w:hyperlink>
      <w:r>
        <w:rPr>
          <w:rFonts w:cs="Arial"/>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FA63EA" w:rsidRDefault="00FA63EA" w:rsidP="00FA63EA">
      <w:pPr>
        <w:spacing w:after="0"/>
        <w:rPr>
          <w:rFonts w:cs="Arial"/>
          <w:szCs w:val="20"/>
          <w:shd w:val="clear" w:color="auto" w:fill="FFFFFF"/>
        </w:rPr>
      </w:pPr>
      <w:r>
        <w:rPr>
          <w:rFonts w:cs="Arial"/>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FA63EA" w:rsidRPr="00114902" w:rsidRDefault="00FA63EA" w:rsidP="00FA63EA">
      <w:pPr>
        <w:spacing w:after="0"/>
        <w:rPr>
          <w:rFonts w:cs="Arial"/>
          <w:szCs w:val="20"/>
          <w:shd w:val="clear" w:color="auto" w:fill="FFFFFF"/>
        </w:rPr>
      </w:pPr>
      <w:r w:rsidRPr="00317C09">
        <w:rPr>
          <w:rFonts w:cs="Arial"/>
          <w:szCs w:val="20"/>
          <w:shd w:val="clear" w:color="auto" w:fill="FFFFFF"/>
        </w:rPr>
        <w:t>This policy complies with our funding agreement and articles of association.</w:t>
      </w:r>
    </w:p>
    <w:p w:rsidR="00FA63EA" w:rsidRDefault="00FA63EA" w:rsidP="00FA63EA">
      <w:pPr>
        <w:pStyle w:val="Caption1"/>
        <w:rPr>
          <w:sz w:val="22"/>
        </w:rPr>
      </w:pPr>
    </w:p>
    <w:p w:rsidR="00FA63EA" w:rsidRDefault="00FA63EA" w:rsidP="00FA63EA">
      <w:pPr>
        <w:pStyle w:val="Heading1"/>
        <w:sectPr w:rsidR="00FA63EA" w:rsidSect="00FC0D6E">
          <w:footerReference w:type="even" r:id="rId11"/>
          <w:footerReference w:type="default" r:id="rId12"/>
          <w:headerReference w:type="first" r:id="rId13"/>
          <w:pgSz w:w="11900" w:h="16840"/>
          <w:pgMar w:top="851" w:right="1134" w:bottom="1134" w:left="1134" w:header="567" w:footer="567" w:gutter="0"/>
          <w:cols w:space="708"/>
          <w:titlePg/>
          <w:docGrid w:linePitch="360"/>
        </w:sectPr>
      </w:pPr>
    </w:p>
    <w:p w:rsidR="00FA63EA" w:rsidRDefault="00FA63EA" w:rsidP="00FA63EA">
      <w:pPr>
        <w:pStyle w:val="Heading1"/>
      </w:pPr>
      <w:bookmarkStart w:id="3" w:name="_Toc491429310"/>
      <w:r>
        <w:lastRenderedPageBreak/>
        <w:t>3. Action plan</w:t>
      </w:r>
      <w:bookmarkEnd w:id="3"/>
    </w:p>
    <w:p w:rsidR="00FA63EA" w:rsidRPr="00BB41CE" w:rsidRDefault="00FA63EA" w:rsidP="00BB41CE">
      <w:pPr>
        <w:rPr>
          <w:rFonts w:cs="Arial"/>
        </w:rPr>
      </w:pPr>
      <w:r>
        <w:rPr>
          <w:rFonts w:cs="Arial"/>
        </w:rPr>
        <w:t xml:space="preserve">This action plan sets out the aims of our accessibility plan in accordance with the Equality Act 2010. </w:t>
      </w:r>
      <w:r w:rsidRPr="0058334A">
        <w:t>.</w:t>
      </w:r>
    </w:p>
    <w:p w:rsidR="00FA63EA" w:rsidRDefault="00FA63EA" w:rsidP="00FA63EA"/>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85"/>
        <w:gridCol w:w="3260"/>
        <w:gridCol w:w="2410"/>
        <w:gridCol w:w="2405"/>
        <w:gridCol w:w="1564"/>
        <w:gridCol w:w="1276"/>
        <w:gridCol w:w="2268"/>
      </w:tblGrid>
      <w:tr w:rsidR="00FA63EA" w:rsidRPr="00DA50A5" w:rsidTr="004A2AD2">
        <w:trPr>
          <w:trHeight w:val="27"/>
        </w:trPr>
        <w:tc>
          <w:tcPr>
            <w:tcW w:w="1985" w:type="dxa"/>
            <w:shd w:val="clear" w:color="auto" w:fill="BFBFBF"/>
          </w:tcPr>
          <w:p w:rsidR="00FA63EA" w:rsidRPr="00DA50A5" w:rsidRDefault="00FA63EA" w:rsidP="004A2AD2">
            <w:pPr>
              <w:jc w:val="center"/>
              <w:rPr>
                <w:b/>
                <w:sz w:val="24"/>
              </w:rPr>
            </w:pPr>
            <w:r>
              <w:rPr>
                <w:b/>
                <w:sz w:val="24"/>
              </w:rPr>
              <w:t>Aim</w:t>
            </w:r>
          </w:p>
        </w:tc>
        <w:tc>
          <w:tcPr>
            <w:tcW w:w="3260" w:type="dxa"/>
            <w:shd w:val="clear" w:color="auto" w:fill="BFBFBF"/>
          </w:tcPr>
          <w:p w:rsidR="00FA63EA" w:rsidRDefault="00FA63EA" w:rsidP="004A2AD2">
            <w:pPr>
              <w:jc w:val="center"/>
              <w:rPr>
                <w:b/>
                <w:sz w:val="24"/>
              </w:rPr>
            </w:pPr>
            <w:r>
              <w:rPr>
                <w:b/>
                <w:sz w:val="24"/>
              </w:rPr>
              <w:t>Current good practice</w:t>
            </w:r>
          </w:p>
          <w:p w:rsidR="00FA63EA" w:rsidRPr="000244E5" w:rsidRDefault="00FA63EA" w:rsidP="004A2AD2">
            <w:pPr>
              <w:jc w:val="center"/>
              <w:rPr>
                <w:rFonts w:cs="Arial"/>
                <w:i/>
                <w:szCs w:val="20"/>
              </w:rPr>
            </w:pPr>
            <w:r w:rsidRPr="000244E5">
              <w:rPr>
                <w:rFonts w:cs="Arial"/>
                <w:i/>
                <w:szCs w:val="20"/>
              </w:rPr>
              <w:t>Include established practice and practice under development</w:t>
            </w:r>
          </w:p>
          <w:p w:rsidR="00FA63EA" w:rsidRPr="00DA50A5" w:rsidRDefault="00FA63EA" w:rsidP="004A2AD2">
            <w:pPr>
              <w:jc w:val="center"/>
              <w:rPr>
                <w:b/>
                <w:sz w:val="24"/>
              </w:rPr>
            </w:pPr>
          </w:p>
        </w:tc>
        <w:tc>
          <w:tcPr>
            <w:tcW w:w="2410" w:type="dxa"/>
            <w:shd w:val="clear" w:color="auto" w:fill="BFBFBF"/>
          </w:tcPr>
          <w:p w:rsidR="00FA63EA" w:rsidRDefault="00FA63EA" w:rsidP="004A2AD2">
            <w:pPr>
              <w:jc w:val="center"/>
              <w:rPr>
                <w:b/>
                <w:sz w:val="24"/>
              </w:rPr>
            </w:pPr>
            <w:r>
              <w:rPr>
                <w:b/>
                <w:sz w:val="24"/>
              </w:rPr>
              <w:t>Objectives</w:t>
            </w:r>
          </w:p>
          <w:p w:rsidR="00FA63EA" w:rsidRPr="000244E5" w:rsidRDefault="00FA63EA" w:rsidP="004A2AD2">
            <w:pPr>
              <w:jc w:val="center"/>
              <w:rPr>
                <w:sz w:val="24"/>
              </w:rPr>
            </w:pPr>
            <w:r w:rsidRPr="000244E5">
              <w:rPr>
                <w:rFonts w:cs="Arial"/>
                <w:i/>
                <w:szCs w:val="20"/>
              </w:rPr>
              <w:t>State short, medium and long-term objectives</w:t>
            </w:r>
          </w:p>
        </w:tc>
        <w:tc>
          <w:tcPr>
            <w:tcW w:w="2405" w:type="dxa"/>
            <w:shd w:val="clear" w:color="auto" w:fill="BFBFBF"/>
          </w:tcPr>
          <w:p w:rsidR="00FA63EA" w:rsidRPr="00DA50A5" w:rsidRDefault="00FA63EA" w:rsidP="004A2AD2">
            <w:pPr>
              <w:jc w:val="center"/>
              <w:rPr>
                <w:b/>
                <w:sz w:val="24"/>
              </w:rPr>
            </w:pPr>
            <w:r>
              <w:rPr>
                <w:b/>
                <w:sz w:val="24"/>
              </w:rPr>
              <w:t>Actions to be taken</w:t>
            </w:r>
          </w:p>
        </w:tc>
        <w:tc>
          <w:tcPr>
            <w:tcW w:w="1564" w:type="dxa"/>
            <w:shd w:val="clear" w:color="auto" w:fill="BFBFBF"/>
          </w:tcPr>
          <w:p w:rsidR="00FA63EA" w:rsidRPr="00DA50A5" w:rsidRDefault="00FA63EA" w:rsidP="004A2AD2">
            <w:pPr>
              <w:jc w:val="center"/>
              <w:rPr>
                <w:b/>
                <w:sz w:val="24"/>
              </w:rPr>
            </w:pPr>
            <w:r>
              <w:rPr>
                <w:b/>
                <w:sz w:val="24"/>
              </w:rPr>
              <w:t>Person responsible</w:t>
            </w:r>
          </w:p>
        </w:tc>
        <w:tc>
          <w:tcPr>
            <w:tcW w:w="1276" w:type="dxa"/>
            <w:shd w:val="clear" w:color="auto" w:fill="BFBFBF"/>
          </w:tcPr>
          <w:p w:rsidR="00FA63EA" w:rsidRPr="00DA50A5" w:rsidRDefault="00FA63EA" w:rsidP="004A2AD2">
            <w:pPr>
              <w:jc w:val="center"/>
              <w:rPr>
                <w:b/>
                <w:sz w:val="24"/>
              </w:rPr>
            </w:pPr>
            <w:r>
              <w:rPr>
                <w:b/>
                <w:sz w:val="24"/>
              </w:rPr>
              <w:t>Date to complete actions by</w:t>
            </w:r>
          </w:p>
        </w:tc>
        <w:tc>
          <w:tcPr>
            <w:tcW w:w="2268" w:type="dxa"/>
            <w:shd w:val="clear" w:color="auto" w:fill="BFBFBF"/>
          </w:tcPr>
          <w:p w:rsidR="00FA63EA" w:rsidRPr="00DA50A5" w:rsidRDefault="00FA63EA" w:rsidP="004A2AD2">
            <w:pPr>
              <w:jc w:val="center"/>
              <w:rPr>
                <w:b/>
                <w:sz w:val="24"/>
              </w:rPr>
            </w:pPr>
            <w:r>
              <w:rPr>
                <w:b/>
                <w:sz w:val="24"/>
              </w:rPr>
              <w:t>Success criteria</w:t>
            </w:r>
          </w:p>
        </w:tc>
      </w:tr>
      <w:tr w:rsidR="00FA63EA" w:rsidRPr="00DA50A5" w:rsidTr="004A2AD2">
        <w:tc>
          <w:tcPr>
            <w:tcW w:w="1985" w:type="dxa"/>
            <w:shd w:val="clear" w:color="auto" w:fill="auto"/>
          </w:tcPr>
          <w:p w:rsidR="00FA63EA" w:rsidRDefault="00FA63EA" w:rsidP="004A2AD2">
            <w:pPr>
              <w:rPr>
                <w:rFonts w:cs="Arial"/>
                <w:szCs w:val="20"/>
              </w:rPr>
            </w:pPr>
            <w:r>
              <w:rPr>
                <w:rFonts w:cs="Arial"/>
                <w:szCs w:val="20"/>
              </w:rPr>
              <w:t>Increase</w:t>
            </w:r>
            <w:r w:rsidRPr="005877F3">
              <w:rPr>
                <w:rFonts w:cs="Arial"/>
                <w:szCs w:val="20"/>
              </w:rPr>
              <w:t xml:space="preserve"> access to the curriculum for pupils with a disability</w:t>
            </w:r>
            <w:r>
              <w:rPr>
                <w:rFonts w:cs="Arial"/>
                <w:szCs w:val="20"/>
              </w:rPr>
              <w:t xml:space="preserve"> including the ARP (Autism Resource Provision)</w:t>
            </w:r>
          </w:p>
          <w:p w:rsidR="00FA63EA" w:rsidRDefault="00FA63EA" w:rsidP="004A2AD2">
            <w:pPr>
              <w:rPr>
                <w:rFonts w:cs="Arial"/>
                <w:szCs w:val="20"/>
              </w:rPr>
            </w:pPr>
          </w:p>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r>
              <w:t>Ensure there are staff with an understanding of the needs of individual pupils with a disability.</w:t>
            </w:r>
          </w:p>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r>
              <w:t>The reviewing of SEND register and personalized targets</w:t>
            </w:r>
          </w:p>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 w:rsidR="00FA63EA" w:rsidRDefault="00FA63EA" w:rsidP="004A2AD2">
            <w:pPr>
              <w:rPr>
                <w:rFonts w:cs="Arial"/>
                <w:szCs w:val="20"/>
              </w:rPr>
            </w:pPr>
          </w:p>
          <w:p w:rsidR="00FA63EA" w:rsidRPr="00DA50A5" w:rsidRDefault="00FA63EA" w:rsidP="004A2AD2">
            <w:pPr>
              <w:rPr>
                <w:rFonts w:cs="Arial"/>
                <w:szCs w:val="20"/>
              </w:rPr>
            </w:pPr>
          </w:p>
        </w:tc>
        <w:tc>
          <w:tcPr>
            <w:tcW w:w="3260" w:type="dxa"/>
          </w:tcPr>
          <w:p w:rsidR="00FA63EA" w:rsidRDefault="00FA63EA" w:rsidP="004A2AD2">
            <w:pPr>
              <w:pStyle w:val="Caption1"/>
              <w:rPr>
                <w:i w:val="0"/>
                <w:color w:val="auto"/>
              </w:rPr>
            </w:pPr>
            <w:r>
              <w:rPr>
                <w:i w:val="0"/>
                <w:color w:val="auto"/>
              </w:rPr>
              <w:lastRenderedPageBreak/>
              <w:t>Queensbridge Primary b</w:t>
            </w:r>
            <w:r w:rsidRPr="00D52E42">
              <w:rPr>
                <w:i w:val="0"/>
                <w:color w:val="auto"/>
              </w:rPr>
              <w:t>ook training for staff to become skilled in specific areas (e.g. autism, Down’s syndrome, cerebral palsy, epilepsy) Disseminate expertise to team members at transition.</w:t>
            </w:r>
            <w:r>
              <w:rPr>
                <w:i w:val="0"/>
                <w:color w:val="auto"/>
              </w:rPr>
              <w:t xml:space="preserve"> Arrange for specialists to come to the school to provide a high level of training for all staff</w:t>
            </w:r>
          </w:p>
          <w:p w:rsidR="00FA63EA" w:rsidRDefault="00FA63EA" w:rsidP="004A2AD2">
            <w:pPr>
              <w:pStyle w:val="Caption1"/>
              <w:rPr>
                <w:i w:val="0"/>
                <w:color w:val="auto"/>
              </w:rPr>
            </w:pPr>
          </w:p>
          <w:p w:rsidR="00FA63EA" w:rsidRDefault="00FA63EA" w:rsidP="004A2AD2">
            <w:pPr>
              <w:pStyle w:val="Caption1"/>
              <w:rPr>
                <w:i w:val="0"/>
                <w:color w:val="auto"/>
              </w:rPr>
            </w:pPr>
            <w:r>
              <w:rPr>
                <w:i w:val="0"/>
                <w:color w:val="auto"/>
              </w:rPr>
              <w:t xml:space="preserve">All staff have been offered a tour of the ARP </w:t>
            </w:r>
          </w:p>
          <w:p w:rsidR="00FA63EA" w:rsidRDefault="00FA63EA" w:rsidP="004A2AD2">
            <w:pPr>
              <w:pStyle w:val="Caption1"/>
              <w:rPr>
                <w:i w:val="0"/>
                <w:color w:val="auto"/>
              </w:rPr>
            </w:pPr>
          </w:p>
          <w:p w:rsidR="00FA63EA" w:rsidRDefault="00FA63EA" w:rsidP="004A2AD2">
            <w:pPr>
              <w:pStyle w:val="Caption1"/>
              <w:rPr>
                <w:i w:val="0"/>
                <w:color w:val="auto"/>
              </w:rPr>
            </w:pPr>
            <w:r>
              <w:rPr>
                <w:i w:val="0"/>
                <w:color w:val="auto"/>
              </w:rPr>
              <w:t xml:space="preserve">The school has worked closely with the Hackney Education specialists in delivering high </w:t>
            </w:r>
            <w:r>
              <w:rPr>
                <w:i w:val="0"/>
                <w:color w:val="auto"/>
              </w:rPr>
              <w:lastRenderedPageBreak/>
              <w:t xml:space="preserve">bespoke curriculum for individual children </w:t>
            </w:r>
          </w:p>
          <w:p w:rsidR="00FA63EA" w:rsidRDefault="00FA63EA" w:rsidP="004A2AD2">
            <w:pPr>
              <w:pStyle w:val="Caption1"/>
              <w:rPr>
                <w:i w:val="0"/>
                <w:color w:val="auto"/>
              </w:rPr>
            </w:pPr>
          </w:p>
          <w:p w:rsidR="00FA63EA" w:rsidRDefault="00FA63EA" w:rsidP="004A2AD2">
            <w:pPr>
              <w:pStyle w:val="Caption1"/>
              <w:rPr>
                <w:i w:val="0"/>
                <w:color w:val="auto"/>
              </w:rPr>
            </w:pPr>
          </w:p>
          <w:p w:rsidR="00FA63EA" w:rsidRPr="00D52E42" w:rsidRDefault="00FA63EA" w:rsidP="004A2AD2">
            <w:pPr>
              <w:pStyle w:val="Caption1"/>
              <w:rPr>
                <w:i w:val="0"/>
                <w:color w:val="auto"/>
                <w:lang w:val="en-GB"/>
              </w:rPr>
            </w:pPr>
            <w:r>
              <w:rPr>
                <w:i w:val="0"/>
                <w:color w:val="auto"/>
              </w:rPr>
              <w:t>Specific Autism</w:t>
            </w:r>
          </w:p>
          <w:p w:rsidR="00FA63EA" w:rsidRDefault="00FA63EA" w:rsidP="004A2AD2">
            <w:pPr>
              <w:pStyle w:val="Caption1"/>
              <w:rPr>
                <w:i w:val="0"/>
                <w:color w:val="auto"/>
              </w:rPr>
            </w:pPr>
          </w:p>
          <w:p w:rsidR="00FA63EA" w:rsidRDefault="00FA63EA" w:rsidP="004A2AD2">
            <w:pPr>
              <w:pStyle w:val="Caption1"/>
              <w:rPr>
                <w:i w:val="0"/>
                <w:color w:val="auto"/>
              </w:rPr>
            </w:pPr>
          </w:p>
          <w:p w:rsidR="00FA63EA" w:rsidRDefault="00FA63EA" w:rsidP="004A2AD2">
            <w:pPr>
              <w:pStyle w:val="Caption1"/>
              <w:rPr>
                <w:i w:val="0"/>
                <w:color w:val="auto"/>
              </w:rPr>
            </w:pPr>
          </w:p>
          <w:p w:rsidR="00FA63EA" w:rsidRDefault="00FA63EA" w:rsidP="004A2AD2">
            <w:pPr>
              <w:pStyle w:val="Caption1"/>
              <w:rPr>
                <w:i w:val="0"/>
                <w:color w:val="auto"/>
              </w:rPr>
            </w:pPr>
          </w:p>
          <w:p w:rsidR="00FA63EA" w:rsidRDefault="00FA63EA" w:rsidP="004A2AD2">
            <w:pPr>
              <w:pStyle w:val="Caption1"/>
              <w:rPr>
                <w:i w:val="0"/>
                <w:color w:val="auto"/>
              </w:rPr>
            </w:pPr>
          </w:p>
          <w:p w:rsidR="00FA63EA" w:rsidRDefault="00FA63EA" w:rsidP="004A2AD2">
            <w:pPr>
              <w:pStyle w:val="Caption1"/>
              <w:rPr>
                <w:i w:val="0"/>
                <w:color w:val="auto"/>
              </w:rPr>
            </w:pPr>
            <w:r w:rsidRPr="00D52E42">
              <w:rPr>
                <w:i w:val="0"/>
                <w:color w:val="auto"/>
              </w:rPr>
              <w:t>Provide opportunities for staff to seek expert advice. INSET on differentiation and planning to meet the needs of individual pupils. Supply practical resources that will support teaching and learning.</w:t>
            </w:r>
          </w:p>
          <w:p w:rsidR="00FA63EA" w:rsidRDefault="00FA63EA" w:rsidP="004A2AD2">
            <w:pPr>
              <w:pStyle w:val="Caption1"/>
              <w:rPr>
                <w:i w:val="0"/>
                <w:color w:val="auto"/>
                <w:lang w:val="en-GB"/>
              </w:rPr>
            </w:pPr>
          </w:p>
          <w:p w:rsidR="00FA63EA" w:rsidRDefault="00FA63EA" w:rsidP="004A2AD2">
            <w:pPr>
              <w:pStyle w:val="Caption1"/>
              <w:rPr>
                <w:i w:val="0"/>
                <w:color w:val="auto"/>
                <w:lang w:val="en-GB"/>
              </w:rPr>
            </w:pPr>
          </w:p>
          <w:p w:rsidR="00FA63EA" w:rsidRDefault="00FA63EA" w:rsidP="004A2AD2">
            <w:pPr>
              <w:pStyle w:val="Caption1"/>
              <w:rPr>
                <w:i w:val="0"/>
                <w:color w:val="auto"/>
                <w:lang w:val="en-GB"/>
              </w:rPr>
            </w:pPr>
          </w:p>
          <w:p w:rsidR="00FA63EA" w:rsidRDefault="00FA63EA" w:rsidP="004A2AD2">
            <w:pPr>
              <w:pStyle w:val="Caption1"/>
              <w:rPr>
                <w:i w:val="0"/>
                <w:color w:val="auto"/>
                <w:lang w:val="en-GB"/>
              </w:rPr>
            </w:pPr>
            <w:r>
              <w:rPr>
                <w:i w:val="0"/>
                <w:color w:val="auto"/>
                <w:lang w:val="en-GB"/>
              </w:rPr>
              <w:t>The class teachers plan differentiated and engaging curriculum that will support all children regardless of ability</w:t>
            </w:r>
          </w:p>
          <w:p w:rsidR="00FA63EA" w:rsidRDefault="00FA63EA" w:rsidP="004A2AD2">
            <w:pPr>
              <w:pStyle w:val="Caption1"/>
              <w:rPr>
                <w:i w:val="0"/>
                <w:color w:val="auto"/>
                <w:lang w:val="en-GB"/>
              </w:rPr>
            </w:pPr>
          </w:p>
          <w:p w:rsidR="00FA63EA" w:rsidRDefault="00FA63EA" w:rsidP="004A2AD2">
            <w:pPr>
              <w:pStyle w:val="Caption1"/>
              <w:rPr>
                <w:i w:val="0"/>
                <w:color w:val="auto"/>
                <w:lang w:val="en-GB"/>
              </w:rPr>
            </w:pPr>
          </w:p>
          <w:p w:rsidR="00FA63EA" w:rsidRDefault="00FA63EA" w:rsidP="004A2AD2">
            <w:pPr>
              <w:pStyle w:val="Caption1"/>
              <w:rPr>
                <w:i w:val="0"/>
                <w:color w:val="auto"/>
                <w:lang w:val="en-GB"/>
              </w:rPr>
            </w:pPr>
          </w:p>
          <w:p w:rsidR="00FA63EA" w:rsidRDefault="00FA63EA" w:rsidP="004A2AD2">
            <w:pPr>
              <w:pStyle w:val="Caption1"/>
              <w:rPr>
                <w:lang w:val="en-GB"/>
              </w:rPr>
            </w:pPr>
            <w:r>
              <w:rPr>
                <w:i w:val="0"/>
                <w:color w:val="auto"/>
                <w:lang w:val="en-GB"/>
              </w:rPr>
              <w:t xml:space="preserve">Teachers and staff track the progress of all children from both lessons and interventions using the creative curriculum as well as </w:t>
            </w:r>
            <w:r>
              <w:rPr>
                <w:i w:val="0"/>
                <w:color w:val="auto"/>
                <w:lang w:val="en-GB"/>
              </w:rPr>
              <w:lastRenderedPageBreak/>
              <w:t xml:space="preserve">Queensbridge’s Shell and Pebbles our own catered tracking to monitor all progress </w:t>
            </w:r>
          </w:p>
          <w:p w:rsidR="00FA63EA" w:rsidRDefault="00FA63EA" w:rsidP="004A2AD2">
            <w:pPr>
              <w:pStyle w:val="Caption1"/>
              <w:rPr>
                <w:lang w:val="en-GB"/>
              </w:rPr>
            </w:pPr>
          </w:p>
          <w:p w:rsidR="00FA63EA" w:rsidRDefault="00FA63EA" w:rsidP="004A2AD2">
            <w:pPr>
              <w:pStyle w:val="Caption1"/>
              <w:rPr>
                <w:lang w:val="en-GB"/>
              </w:rPr>
            </w:pPr>
          </w:p>
          <w:p w:rsidR="00FA63EA" w:rsidRDefault="00FA63EA" w:rsidP="004A2AD2">
            <w:pPr>
              <w:pStyle w:val="Caption1"/>
              <w:rPr>
                <w:lang w:val="en-GB"/>
              </w:rPr>
            </w:pPr>
          </w:p>
          <w:p w:rsidR="00FA63EA" w:rsidRDefault="00FA63EA" w:rsidP="004A2AD2">
            <w:pPr>
              <w:pStyle w:val="Caption1"/>
              <w:rPr>
                <w:lang w:val="en-GB"/>
              </w:rPr>
            </w:pPr>
          </w:p>
          <w:p w:rsidR="00FA63EA" w:rsidRDefault="00FA63EA" w:rsidP="004A2AD2">
            <w:pPr>
              <w:pStyle w:val="Caption1"/>
              <w:rPr>
                <w:lang w:val="en-GB"/>
              </w:rPr>
            </w:pPr>
          </w:p>
          <w:p w:rsidR="00FA63EA" w:rsidRDefault="00FA63EA" w:rsidP="004A2AD2">
            <w:pPr>
              <w:pStyle w:val="Caption1"/>
            </w:pPr>
          </w:p>
          <w:p w:rsidR="00FA63EA" w:rsidRDefault="00FA63EA" w:rsidP="004A2AD2">
            <w:pPr>
              <w:pStyle w:val="Caption1"/>
            </w:pPr>
          </w:p>
          <w:p w:rsidR="00FA63EA" w:rsidRDefault="00FA63EA" w:rsidP="004A2AD2">
            <w:pPr>
              <w:pStyle w:val="Caption1"/>
            </w:pPr>
          </w:p>
          <w:p w:rsidR="00FA63EA" w:rsidRDefault="00FA63EA" w:rsidP="004A2AD2">
            <w:pPr>
              <w:pStyle w:val="Caption1"/>
            </w:pPr>
          </w:p>
          <w:p w:rsidR="00FA63EA" w:rsidRDefault="00FA63EA" w:rsidP="004A2AD2">
            <w:pPr>
              <w:pStyle w:val="Caption1"/>
            </w:pPr>
          </w:p>
          <w:p w:rsidR="00FA63EA" w:rsidRDefault="00FA63EA" w:rsidP="004A2AD2">
            <w:pPr>
              <w:pStyle w:val="Caption1"/>
            </w:pPr>
          </w:p>
          <w:p w:rsidR="00FA63EA" w:rsidRDefault="00FA63EA" w:rsidP="004A2AD2">
            <w:pPr>
              <w:pStyle w:val="Caption1"/>
            </w:pPr>
          </w:p>
          <w:p w:rsidR="00FA63EA" w:rsidRDefault="00FA63EA" w:rsidP="004A2AD2">
            <w:pPr>
              <w:pStyle w:val="Caption1"/>
            </w:pPr>
          </w:p>
          <w:p w:rsidR="00FA63EA" w:rsidRDefault="00FA63EA" w:rsidP="004A2AD2">
            <w:pPr>
              <w:pStyle w:val="Caption1"/>
              <w:rPr>
                <w:i w:val="0"/>
                <w:color w:val="auto"/>
              </w:rPr>
            </w:pPr>
            <w:r>
              <w:rPr>
                <w:i w:val="0"/>
                <w:color w:val="auto"/>
              </w:rPr>
              <w:t>Regular review meeting to set targets with children and teachers</w:t>
            </w:r>
          </w:p>
          <w:p w:rsidR="00FA63EA" w:rsidRDefault="00FA63EA" w:rsidP="004A2AD2">
            <w:pPr>
              <w:pStyle w:val="Caption1"/>
              <w:rPr>
                <w:i w:val="0"/>
                <w:color w:val="auto"/>
              </w:rPr>
            </w:pPr>
          </w:p>
          <w:p w:rsidR="00FA63EA" w:rsidRDefault="00FA63EA" w:rsidP="004A2AD2">
            <w:pPr>
              <w:pStyle w:val="Caption1"/>
              <w:rPr>
                <w:i w:val="0"/>
                <w:color w:val="auto"/>
              </w:rPr>
            </w:pPr>
            <w:r>
              <w:rPr>
                <w:i w:val="0"/>
                <w:color w:val="auto"/>
              </w:rPr>
              <w:t>A clear referral for teachers or parents to flag any concerns that they may have about a child</w:t>
            </w:r>
          </w:p>
          <w:p w:rsidR="00FA63EA" w:rsidRDefault="00FA63EA" w:rsidP="004A2AD2">
            <w:pPr>
              <w:pStyle w:val="Caption1"/>
              <w:rPr>
                <w:i w:val="0"/>
                <w:color w:val="auto"/>
              </w:rPr>
            </w:pPr>
          </w:p>
          <w:p w:rsidR="00FA63EA" w:rsidRPr="006546F3" w:rsidRDefault="00FA63EA" w:rsidP="004A2AD2">
            <w:pPr>
              <w:pStyle w:val="Caption1"/>
              <w:rPr>
                <w:i w:val="0"/>
                <w:color w:val="auto"/>
              </w:rPr>
            </w:pPr>
            <w:r>
              <w:rPr>
                <w:i w:val="0"/>
                <w:color w:val="auto"/>
              </w:rPr>
              <w:t xml:space="preserve">Regular meetings to decide which children need to remain on the SEND register and those that have made accelerated progress  </w:t>
            </w:r>
          </w:p>
        </w:tc>
        <w:tc>
          <w:tcPr>
            <w:tcW w:w="2410" w:type="dxa"/>
            <w:shd w:val="clear" w:color="auto" w:fill="auto"/>
          </w:tcPr>
          <w:p w:rsidR="00FA63EA" w:rsidRDefault="00FA63EA" w:rsidP="004A2AD2">
            <w:pPr>
              <w:rPr>
                <w:rFonts w:cs="Arial"/>
                <w:szCs w:val="20"/>
              </w:rPr>
            </w:pPr>
            <w:r>
              <w:rPr>
                <w:rFonts w:cs="Arial"/>
                <w:szCs w:val="20"/>
              </w:rPr>
              <w:lastRenderedPageBreak/>
              <w:t>All staff will have a clear and deep understanding of the barriers that can effect children’s learning</w:t>
            </w:r>
          </w:p>
          <w:p w:rsidR="00FA63EA" w:rsidRDefault="00FA63EA" w:rsidP="004A2AD2">
            <w:pPr>
              <w:rPr>
                <w:rFonts w:cs="Arial"/>
                <w:szCs w:val="20"/>
              </w:rPr>
            </w:pPr>
          </w:p>
          <w:p w:rsidR="00FA63EA" w:rsidRDefault="00FA63EA" w:rsidP="004A2AD2">
            <w:pPr>
              <w:rPr>
                <w:rFonts w:cs="Arial"/>
                <w:szCs w:val="20"/>
              </w:rPr>
            </w:pPr>
            <w:r>
              <w:rPr>
                <w:rFonts w:cs="Arial"/>
                <w:szCs w:val="20"/>
              </w:rPr>
              <w:t xml:space="preserve">Clear access to the ARP with individually catered, child-centered curriculum </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 xml:space="preserve">The school will work closely with outside agencies e.g. educational psychologists, Speech and Language Specialists who will provide relevant whole school training  </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Opportunities will be taken to support teaching staff the assess their planning and share good practices with peers</w:t>
            </w:r>
          </w:p>
          <w:p w:rsidR="00FA63EA" w:rsidRDefault="00FA63EA" w:rsidP="004A2AD2">
            <w:pPr>
              <w:rPr>
                <w:rFonts w:cs="Arial"/>
                <w:szCs w:val="20"/>
              </w:rPr>
            </w:pPr>
          </w:p>
          <w:p w:rsidR="00FA63EA" w:rsidRDefault="00FA63EA" w:rsidP="004A2AD2">
            <w:pPr>
              <w:rPr>
                <w:rFonts w:cs="Arial"/>
                <w:szCs w:val="20"/>
              </w:rPr>
            </w:pPr>
            <w:r>
              <w:rPr>
                <w:rFonts w:cs="Arial"/>
                <w:szCs w:val="20"/>
              </w:rPr>
              <w:t>Interventions will be structure and feed back into the learning in the class</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Ensure clear communication between staff and parents</w:t>
            </w:r>
          </w:p>
          <w:p w:rsidR="00FA63EA" w:rsidRDefault="00FA63EA" w:rsidP="004A2AD2">
            <w:pPr>
              <w:rPr>
                <w:rFonts w:cs="Arial"/>
                <w:szCs w:val="20"/>
              </w:rPr>
            </w:pPr>
          </w:p>
          <w:p w:rsidR="00FA63EA" w:rsidRPr="00DA50A5" w:rsidRDefault="00FA63EA" w:rsidP="004A2AD2">
            <w:pPr>
              <w:rPr>
                <w:rFonts w:cs="Arial"/>
                <w:szCs w:val="20"/>
              </w:rPr>
            </w:pPr>
            <w:r>
              <w:rPr>
                <w:rFonts w:cs="Arial"/>
                <w:szCs w:val="20"/>
              </w:rPr>
              <w:t xml:space="preserve">Ensure that all children are getting a high level of support </w:t>
            </w:r>
          </w:p>
        </w:tc>
        <w:tc>
          <w:tcPr>
            <w:tcW w:w="2405" w:type="dxa"/>
          </w:tcPr>
          <w:p w:rsidR="00FA63EA" w:rsidRDefault="00FA63EA" w:rsidP="004A2AD2">
            <w:pPr>
              <w:rPr>
                <w:rFonts w:cs="Arial"/>
                <w:szCs w:val="20"/>
              </w:rPr>
            </w:pPr>
            <w:r>
              <w:rPr>
                <w:rFonts w:cs="Arial"/>
                <w:szCs w:val="20"/>
              </w:rPr>
              <w:lastRenderedPageBreak/>
              <w:t xml:space="preserve">Training will be provided and knowledge from the training will be implemented </w:t>
            </w:r>
          </w:p>
          <w:p w:rsidR="00FA63EA" w:rsidRDefault="00FA63EA" w:rsidP="004A2AD2">
            <w:pPr>
              <w:rPr>
                <w:rFonts w:cs="Arial"/>
                <w:szCs w:val="20"/>
              </w:rPr>
            </w:pPr>
          </w:p>
          <w:p w:rsidR="00FA63EA" w:rsidRDefault="00FA63EA" w:rsidP="004A2AD2">
            <w:pPr>
              <w:rPr>
                <w:rFonts w:cs="Arial"/>
                <w:szCs w:val="20"/>
              </w:rPr>
            </w:pPr>
            <w:r>
              <w:rPr>
                <w:rFonts w:cs="Arial"/>
                <w:szCs w:val="20"/>
              </w:rPr>
              <w:t>The school will liaise with Specialist Teacher’s, Speech and Language Therapists, Occupational Therapists and Educational Psychologists</w:t>
            </w:r>
          </w:p>
          <w:p w:rsidR="00FA63EA" w:rsidRDefault="00FA63EA" w:rsidP="004A2AD2">
            <w:pPr>
              <w:rPr>
                <w:rFonts w:cs="Arial"/>
                <w:szCs w:val="20"/>
              </w:rPr>
            </w:pPr>
          </w:p>
          <w:p w:rsidR="00FA63EA" w:rsidRDefault="00FA63EA" w:rsidP="004A2AD2">
            <w:pPr>
              <w:rPr>
                <w:rFonts w:cs="Arial"/>
                <w:szCs w:val="20"/>
              </w:rPr>
            </w:pPr>
            <w:r>
              <w:rPr>
                <w:rFonts w:cs="Arial"/>
                <w:szCs w:val="20"/>
              </w:rPr>
              <w:t xml:space="preserve">The school will work closely with families in providing support and training and </w:t>
            </w:r>
            <w:r>
              <w:rPr>
                <w:rFonts w:cs="Arial"/>
                <w:szCs w:val="20"/>
              </w:rPr>
              <w:lastRenderedPageBreak/>
              <w:t>implementing a range of strategies</w:t>
            </w:r>
          </w:p>
          <w:p w:rsidR="00FA63EA" w:rsidRDefault="00FA63EA" w:rsidP="004A2AD2">
            <w:pPr>
              <w:rPr>
                <w:rFonts w:cs="Arial"/>
                <w:szCs w:val="20"/>
              </w:rPr>
            </w:pPr>
            <w:r>
              <w:rPr>
                <w:rFonts w:cs="Arial"/>
                <w:szCs w:val="20"/>
              </w:rPr>
              <w:t>SCERTS (social communication, emotional regulation and transactional support) training has been delivered to support all children across the school with autism</w:t>
            </w:r>
          </w:p>
          <w:p w:rsidR="00FA63EA" w:rsidRDefault="00FA63EA" w:rsidP="004A2AD2">
            <w:pPr>
              <w:rPr>
                <w:rFonts w:cs="Arial"/>
                <w:szCs w:val="20"/>
              </w:rPr>
            </w:pPr>
          </w:p>
          <w:p w:rsidR="00FA63EA" w:rsidRDefault="00FA63EA" w:rsidP="004A2AD2">
            <w:pPr>
              <w:rPr>
                <w:rFonts w:cs="Arial"/>
                <w:szCs w:val="20"/>
              </w:rPr>
            </w:pPr>
            <w:r>
              <w:rPr>
                <w:rFonts w:cs="Arial"/>
                <w:szCs w:val="20"/>
              </w:rPr>
              <w:t>The specialists from the Hackney Learning Trust to work along teaching staff</w:t>
            </w:r>
          </w:p>
          <w:p w:rsidR="00FA63EA" w:rsidRDefault="00FA63EA" w:rsidP="004A2AD2">
            <w:pPr>
              <w:rPr>
                <w:rFonts w:cs="Arial"/>
                <w:szCs w:val="20"/>
              </w:rPr>
            </w:pPr>
          </w:p>
          <w:p w:rsidR="00FA63EA" w:rsidRDefault="00FA63EA" w:rsidP="004A2AD2">
            <w:pPr>
              <w:rPr>
                <w:rFonts w:cs="Arial"/>
                <w:szCs w:val="20"/>
              </w:rPr>
            </w:pPr>
            <w:r>
              <w:rPr>
                <w:rFonts w:cs="Arial"/>
                <w:szCs w:val="20"/>
              </w:rPr>
              <w:t xml:space="preserve">SENCO to work closely with class teachers and support staff providing strategies and effective interventions for children on the SEND register </w:t>
            </w:r>
          </w:p>
          <w:p w:rsidR="00FA63EA" w:rsidRDefault="00FA63EA" w:rsidP="004A2AD2">
            <w:pPr>
              <w:rPr>
                <w:rFonts w:cs="Arial"/>
                <w:szCs w:val="20"/>
              </w:rPr>
            </w:pPr>
          </w:p>
          <w:p w:rsidR="00FA63EA" w:rsidRDefault="00FA63EA" w:rsidP="004A2AD2">
            <w:pPr>
              <w:rPr>
                <w:rFonts w:cs="Arial"/>
                <w:szCs w:val="20"/>
              </w:rPr>
            </w:pPr>
            <w:r>
              <w:rPr>
                <w:rFonts w:cs="Arial"/>
                <w:szCs w:val="20"/>
              </w:rPr>
              <w:t xml:space="preserve">Staff meeting will set to give opportunity to share good practices </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 xml:space="preserve">Specialist Teachers and Speech and Language specialists will be on hand to support planning   </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Children on the SEND register will have 3 IEP meetings a year to check progress.</w:t>
            </w:r>
          </w:p>
          <w:p w:rsidR="00FA63EA" w:rsidRDefault="00FA63EA" w:rsidP="004A2AD2">
            <w:pPr>
              <w:rPr>
                <w:rFonts w:cs="Arial"/>
                <w:szCs w:val="20"/>
              </w:rPr>
            </w:pPr>
          </w:p>
          <w:p w:rsidR="00FA63EA" w:rsidRDefault="00FA63EA" w:rsidP="004A2AD2">
            <w:pPr>
              <w:rPr>
                <w:rFonts w:cs="Arial"/>
                <w:szCs w:val="20"/>
              </w:rPr>
            </w:pPr>
            <w:r>
              <w:rPr>
                <w:rFonts w:cs="Arial"/>
                <w:szCs w:val="20"/>
              </w:rPr>
              <w:t>Targets for the IEP’s will appropriate and challenging that will be attended by teachers, LSA’s and families</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Regular meetings between staff, families and SENCO</w:t>
            </w:r>
          </w:p>
          <w:p w:rsidR="00FA63EA" w:rsidRDefault="00FA63EA" w:rsidP="004A2AD2">
            <w:pPr>
              <w:rPr>
                <w:rFonts w:cs="Arial"/>
                <w:szCs w:val="20"/>
              </w:rPr>
            </w:pPr>
          </w:p>
          <w:p w:rsidR="00FA63EA" w:rsidRDefault="00FA63EA" w:rsidP="004A2AD2">
            <w:pPr>
              <w:rPr>
                <w:rFonts w:cs="Arial"/>
                <w:szCs w:val="20"/>
              </w:rPr>
            </w:pPr>
            <w:r>
              <w:rPr>
                <w:rFonts w:cs="Arial"/>
                <w:szCs w:val="20"/>
              </w:rPr>
              <w:t>Clear interventions with outcomes that will measure progress</w:t>
            </w:r>
          </w:p>
          <w:p w:rsidR="00FA63EA" w:rsidRPr="00DA50A5" w:rsidRDefault="00FA63EA" w:rsidP="004A2AD2">
            <w:pPr>
              <w:rPr>
                <w:rFonts w:cs="Arial"/>
                <w:szCs w:val="20"/>
              </w:rPr>
            </w:pPr>
            <w:r>
              <w:rPr>
                <w:rFonts w:cs="Arial"/>
                <w:szCs w:val="20"/>
              </w:rPr>
              <w:t>Joint observations with all professionals including SENCO to set targets  and ensure high quality teaching</w:t>
            </w:r>
          </w:p>
        </w:tc>
        <w:tc>
          <w:tcPr>
            <w:tcW w:w="1564" w:type="dxa"/>
          </w:tcPr>
          <w:p w:rsidR="00FA63EA" w:rsidRDefault="00FA63EA" w:rsidP="004A2AD2">
            <w:pPr>
              <w:rPr>
                <w:rFonts w:cs="Arial"/>
                <w:szCs w:val="20"/>
              </w:rPr>
            </w:pPr>
            <w:r>
              <w:rPr>
                <w:rFonts w:cs="Arial"/>
                <w:szCs w:val="20"/>
              </w:rPr>
              <w:lastRenderedPageBreak/>
              <w:t>SMT/SENCO</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 xml:space="preserve">ARP manager </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SMT</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SENCO</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SENCO</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Pr="00DA50A5" w:rsidRDefault="00FA63EA" w:rsidP="004A2AD2">
            <w:pPr>
              <w:rPr>
                <w:rFonts w:cs="Arial"/>
                <w:szCs w:val="20"/>
              </w:rPr>
            </w:pPr>
            <w:r>
              <w:rPr>
                <w:rFonts w:cs="Arial"/>
                <w:szCs w:val="20"/>
              </w:rPr>
              <w:t>All staff including SENCO and class teachers</w:t>
            </w:r>
          </w:p>
        </w:tc>
        <w:tc>
          <w:tcPr>
            <w:tcW w:w="1276" w:type="dxa"/>
          </w:tcPr>
          <w:p w:rsidR="00FA63EA" w:rsidRPr="00DA50A5" w:rsidRDefault="00FA63EA" w:rsidP="004A2AD2">
            <w:pPr>
              <w:rPr>
                <w:rFonts w:cs="Arial"/>
                <w:szCs w:val="20"/>
              </w:rPr>
            </w:pPr>
            <w:r>
              <w:rPr>
                <w:rFonts w:cs="Arial"/>
                <w:szCs w:val="20"/>
              </w:rPr>
              <w:lastRenderedPageBreak/>
              <w:t>ongoing</w:t>
            </w:r>
          </w:p>
        </w:tc>
        <w:tc>
          <w:tcPr>
            <w:tcW w:w="2268" w:type="dxa"/>
          </w:tcPr>
          <w:p w:rsidR="00FA63EA" w:rsidRDefault="00FA63EA" w:rsidP="004A2AD2">
            <w:pPr>
              <w:rPr>
                <w:rFonts w:cs="Arial"/>
                <w:szCs w:val="20"/>
              </w:rPr>
            </w:pPr>
            <w:r>
              <w:rPr>
                <w:rFonts w:cs="Arial"/>
                <w:szCs w:val="20"/>
              </w:rPr>
              <w:t>Update on actions taken</w:t>
            </w:r>
          </w:p>
          <w:p w:rsidR="00FA63EA" w:rsidRDefault="00FA63EA" w:rsidP="004A2AD2">
            <w:pPr>
              <w:rPr>
                <w:rFonts w:cs="Arial"/>
                <w:szCs w:val="20"/>
              </w:rPr>
            </w:pPr>
            <w:r>
              <w:rPr>
                <w:rFonts w:cs="Arial"/>
                <w:szCs w:val="20"/>
              </w:rPr>
              <w:t>Review it yearly</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r>
              <w:rPr>
                <w:rFonts w:cs="Arial"/>
                <w:szCs w:val="20"/>
              </w:rPr>
              <w:t>Reviewed termly</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Pr="00DA50A5" w:rsidRDefault="00FA63EA" w:rsidP="004A2AD2">
            <w:pPr>
              <w:rPr>
                <w:rFonts w:cs="Arial"/>
                <w:szCs w:val="20"/>
              </w:rPr>
            </w:pPr>
          </w:p>
        </w:tc>
      </w:tr>
      <w:tr w:rsidR="00FA63EA" w:rsidRPr="00DA50A5" w:rsidTr="004A2AD2">
        <w:tc>
          <w:tcPr>
            <w:tcW w:w="1985" w:type="dxa"/>
            <w:shd w:val="clear" w:color="auto" w:fill="auto"/>
          </w:tcPr>
          <w:p w:rsidR="00FA63EA" w:rsidRDefault="00FA63EA" w:rsidP="004A2AD2">
            <w:pPr>
              <w:rPr>
                <w:rFonts w:cs="Arial"/>
                <w:szCs w:val="20"/>
              </w:rPr>
            </w:pPr>
            <w:r>
              <w:rPr>
                <w:rFonts w:cs="Arial"/>
                <w:szCs w:val="20"/>
              </w:rPr>
              <w:lastRenderedPageBreak/>
              <w:t>I</w:t>
            </w:r>
            <w:r w:rsidRPr="005877F3">
              <w:rPr>
                <w:rFonts w:cs="Arial"/>
                <w:szCs w:val="20"/>
              </w:rPr>
              <w:t xml:space="preserve">mprove and maintain access to the physical </w:t>
            </w:r>
            <w:r>
              <w:rPr>
                <w:rFonts w:cs="Arial"/>
                <w:szCs w:val="20"/>
              </w:rPr>
              <w:t>environment</w:t>
            </w:r>
          </w:p>
          <w:p w:rsidR="00FA63EA" w:rsidRPr="00DA50A5" w:rsidRDefault="00FA63EA" w:rsidP="004A2AD2">
            <w:pPr>
              <w:rPr>
                <w:rFonts w:cs="Arial"/>
                <w:szCs w:val="20"/>
              </w:rPr>
            </w:pPr>
            <w:r>
              <w:t>The school is aware of the access needs of disabled pupils, staff, governors, parent/carers and visitors</w:t>
            </w:r>
          </w:p>
        </w:tc>
        <w:tc>
          <w:tcPr>
            <w:tcW w:w="3260" w:type="dxa"/>
          </w:tcPr>
          <w:p w:rsidR="00FA63EA" w:rsidRPr="00474E79" w:rsidRDefault="00FA63EA" w:rsidP="004A2AD2">
            <w:pPr>
              <w:pStyle w:val="Caption1"/>
              <w:rPr>
                <w:i w:val="0"/>
                <w:color w:val="auto"/>
                <w:lang w:val="en-GB"/>
              </w:rPr>
            </w:pPr>
            <w:r w:rsidRPr="00474E79">
              <w:rPr>
                <w:i w:val="0"/>
                <w:color w:val="auto"/>
                <w:lang w:val="en-GB"/>
              </w:rPr>
              <w:t xml:space="preserve">Queensbridge Primary School is a large school that caters for a high level of need. The school has already made adjustments to its physical environment by adding a sensory room, and autism attention room and changing facilities. We have also worked alongside Visual Impairment specialists to make sure that the school can be easily manoeuvred by all children </w:t>
            </w:r>
          </w:p>
          <w:p w:rsidR="00FA63EA" w:rsidRPr="00474E79" w:rsidRDefault="00FA63EA" w:rsidP="004A2AD2">
            <w:pPr>
              <w:pStyle w:val="Caption1"/>
              <w:rPr>
                <w:i w:val="0"/>
                <w:color w:val="auto"/>
                <w:lang w:val="en-GB"/>
              </w:rPr>
            </w:pPr>
          </w:p>
          <w:p w:rsidR="00FA63EA" w:rsidRPr="00474E79" w:rsidRDefault="00FA63EA" w:rsidP="00FA63EA">
            <w:pPr>
              <w:pStyle w:val="Caption1"/>
              <w:rPr>
                <w:i w:val="0"/>
                <w:color w:val="auto"/>
                <w:lang w:val="en-GB"/>
              </w:rPr>
            </w:pPr>
            <w:r w:rsidRPr="00474E79">
              <w:rPr>
                <w:i w:val="0"/>
                <w:color w:val="auto"/>
                <w:lang w:val="en-GB"/>
              </w:rPr>
              <w:t xml:space="preserve">With the design of the ARP careful consideration was given to access including for those with mobility difficulties </w:t>
            </w:r>
          </w:p>
          <w:p w:rsidR="00FA63EA" w:rsidRPr="00474E79" w:rsidRDefault="00FA63EA" w:rsidP="004A2AD2">
            <w:pPr>
              <w:pStyle w:val="Caption1"/>
              <w:rPr>
                <w:i w:val="0"/>
                <w:color w:val="auto"/>
                <w:lang w:val="en-GB"/>
              </w:rPr>
            </w:pPr>
          </w:p>
          <w:p w:rsidR="00FA63EA" w:rsidRPr="00474E79" w:rsidRDefault="00FA63EA" w:rsidP="004A2AD2">
            <w:pPr>
              <w:pStyle w:val="Caption1"/>
              <w:rPr>
                <w:i w:val="0"/>
                <w:color w:val="auto"/>
                <w:lang w:val="en-GB"/>
              </w:rPr>
            </w:pPr>
          </w:p>
          <w:p w:rsidR="00FA63EA" w:rsidRPr="00474E79" w:rsidRDefault="00FA63EA" w:rsidP="004A2AD2">
            <w:pPr>
              <w:pStyle w:val="Caption1"/>
              <w:rPr>
                <w:i w:val="0"/>
                <w:color w:val="auto"/>
                <w:lang w:val="en-GB"/>
              </w:rPr>
            </w:pPr>
            <w:r w:rsidRPr="00474E79">
              <w:rPr>
                <w:i w:val="0"/>
                <w:color w:val="auto"/>
                <w:lang w:val="en-GB"/>
              </w:rPr>
              <w:t xml:space="preserve">The school has recently opened its ARP (Autism Resource Provision) which has is specifically built to support the needs of children with a diagnosis. This includes at large sensory room, soft play room and hygiene room which can be accessed by children. In addition, there is a breakout space for children to eat their dinners in a low sensory arousal space. The </w:t>
            </w:r>
            <w:r w:rsidRPr="00474E79">
              <w:rPr>
                <w:i w:val="0"/>
                <w:color w:val="auto"/>
                <w:lang w:val="en-GB"/>
              </w:rPr>
              <w:lastRenderedPageBreak/>
              <w:t>ARP has hush boards that absorb sound.</w:t>
            </w:r>
          </w:p>
          <w:p w:rsidR="00FA63EA" w:rsidRPr="00474E79" w:rsidRDefault="00FA63EA" w:rsidP="004A2AD2">
            <w:pPr>
              <w:pStyle w:val="Caption1"/>
              <w:ind w:left="720"/>
              <w:rPr>
                <w:color w:val="auto"/>
              </w:rPr>
            </w:pPr>
          </w:p>
        </w:tc>
        <w:tc>
          <w:tcPr>
            <w:tcW w:w="2410" w:type="dxa"/>
            <w:shd w:val="clear" w:color="auto" w:fill="auto"/>
          </w:tcPr>
          <w:p w:rsidR="00FA63EA" w:rsidRPr="00474E79" w:rsidRDefault="00FA63EA" w:rsidP="004A2AD2">
            <w:pPr>
              <w:pStyle w:val="Caption1"/>
              <w:rPr>
                <w:i w:val="0"/>
                <w:color w:val="auto"/>
                <w:lang w:val="en-GB"/>
              </w:rPr>
            </w:pPr>
            <w:r w:rsidRPr="00474E79">
              <w:rPr>
                <w:i w:val="0"/>
                <w:color w:val="auto"/>
              </w:rPr>
              <w:lastRenderedPageBreak/>
              <w:t>To create access plans for individual disabled pupils as part of the IEP process when required Be aware of staff, governors and parents access needs and meet as appropriate Consider access needs during recruitment process</w:t>
            </w:r>
          </w:p>
          <w:p w:rsidR="00FA63EA" w:rsidRPr="00474E79" w:rsidRDefault="00FA63EA" w:rsidP="004A2AD2">
            <w:pPr>
              <w:rPr>
                <w:rFonts w:cs="Arial"/>
                <w:szCs w:val="20"/>
              </w:rPr>
            </w:pPr>
          </w:p>
          <w:p w:rsidR="00FA63EA" w:rsidRPr="00474E79" w:rsidRDefault="00FA63EA" w:rsidP="004A2AD2">
            <w:pPr>
              <w:rPr>
                <w:rFonts w:cs="Arial"/>
                <w:szCs w:val="20"/>
              </w:rPr>
            </w:pPr>
          </w:p>
          <w:p w:rsidR="00FA63EA" w:rsidRPr="00474E79" w:rsidRDefault="00FA63EA" w:rsidP="004A2AD2">
            <w:pPr>
              <w:pStyle w:val="Caption1"/>
              <w:rPr>
                <w:i w:val="0"/>
                <w:color w:val="auto"/>
              </w:rPr>
            </w:pPr>
          </w:p>
          <w:p w:rsidR="00FA63EA" w:rsidRPr="00474E79" w:rsidRDefault="00FA63EA" w:rsidP="004A2AD2">
            <w:pPr>
              <w:pStyle w:val="Caption1"/>
              <w:rPr>
                <w:i w:val="0"/>
                <w:color w:val="auto"/>
              </w:rPr>
            </w:pPr>
          </w:p>
          <w:p w:rsidR="00FA63EA" w:rsidRPr="00474E79" w:rsidRDefault="00FA63EA" w:rsidP="004A2AD2">
            <w:pPr>
              <w:pStyle w:val="Caption1"/>
              <w:rPr>
                <w:i w:val="0"/>
                <w:color w:val="auto"/>
              </w:rPr>
            </w:pPr>
          </w:p>
          <w:p w:rsidR="00FA63EA" w:rsidRPr="00474E79" w:rsidRDefault="00FA63EA" w:rsidP="004A2AD2">
            <w:pPr>
              <w:pStyle w:val="Caption1"/>
              <w:rPr>
                <w:i w:val="0"/>
                <w:color w:val="auto"/>
              </w:rPr>
            </w:pPr>
          </w:p>
          <w:p w:rsidR="00E8663B" w:rsidRPr="00474E79" w:rsidRDefault="00E8663B" w:rsidP="004A2AD2">
            <w:pPr>
              <w:pStyle w:val="Caption1"/>
              <w:rPr>
                <w:i w:val="0"/>
                <w:color w:val="auto"/>
              </w:rPr>
            </w:pPr>
          </w:p>
          <w:p w:rsidR="00FA63EA" w:rsidRPr="00474E79" w:rsidRDefault="00FA63EA" w:rsidP="004A2AD2">
            <w:pPr>
              <w:pStyle w:val="Caption1"/>
              <w:rPr>
                <w:i w:val="0"/>
                <w:color w:val="auto"/>
              </w:rPr>
            </w:pPr>
            <w:r w:rsidRPr="00474E79">
              <w:rPr>
                <w:i w:val="0"/>
                <w:color w:val="auto"/>
              </w:rPr>
              <w:t>That all children will be able access all areas of the school regardless of barriers</w:t>
            </w:r>
          </w:p>
        </w:tc>
        <w:tc>
          <w:tcPr>
            <w:tcW w:w="2405" w:type="dxa"/>
          </w:tcPr>
          <w:p w:rsidR="00FA63EA" w:rsidRPr="00474E79" w:rsidRDefault="00FA63EA" w:rsidP="004A2AD2">
            <w:pPr>
              <w:rPr>
                <w:rFonts w:cs="Arial"/>
                <w:szCs w:val="20"/>
              </w:rPr>
            </w:pPr>
            <w:r w:rsidRPr="00474E79">
              <w:rPr>
                <w:rFonts w:cs="Arial"/>
                <w:szCs w:val="20"/>
              </w:rPr>
              <w:t xml:space="preserve">All resources will be reassessed and adapted as appropriate </w:t>
            </w:r>
          </w:p>
          <w:p w:rsidR="00FA63EA" w:rsidRPr="00474E79" w:rsidRDefault="00FA63EA" w:rsidP="004A2AD2">
            <w:pPr>
              <w:rPr>
                <w:rFonts w:cs="Arial"/>
                <w:szCs w:val="20"/>
              </w:rPr>
            </w:pPr>
          </w:p>
          <w:p w:rsidR="00FA63EA" w:rsidRPr="00474E79" w:rsidRDefault="00FA63EA" w:rsidP="004A2AD2">
            <w:pPr>
              <w:rPr>
                <w:rFonts w:cs="Arial"/>
                <w:szCs w:val="20"/>
              </w:rPr>
            </w:pPr>
          </w:p>
          <w:p w:rsidR="00FA63EA" w:rsidRPr="00474E79" w:rsidRDefault="00FA63EA" w:rsidP="004A2AD2">
            <w:pPr>
              <w:rPr>
                <w:rFonts w:cs="Arial"/>
                <w:szCs w:val="20"/>
              </w:rPr>
            </w:pPr>
          </w:p>
          <w:p w:rsidR="00FA63EA" w:rsidRPr="00474E79" w:rsidRDefault="00FA63EA" w:rsidP="004A2AD2">
            <w:pPr>
              <w:rPr>
                <w:rFonts w:cs="Arial"/>
                <w:szCs w:val="20"/>
              </w:rPr>
            </w:pPr>
          </w:p>
          <w:p w:rsidR="00FA63EA" w:rsidRPr="00474E79" w:rsidRDefault="00FA63EA" w:rsidP="004A2AD2">
            <w:pPr>
              <w:rPr>
                <w:rFonts w:cs="Arial"/>
                <w:szCs w:val="20"/>
              </w:rPr>
            </w:pPr>
          </w:p>
          <w:p w:rsidR="00FA63EA" w:rsidRPr="00474E79" w:rsidRDefault="00FA63EA" w:rsidP="004A2AD2">
            <w:pPr>
              <w:rPr>
                <w:rFonts w:cs="Arial"/>
                <w:szCs w:val="20"/>
              </w:rPr>
            </w:pPr>
          </w:p>
          <w:p w:rsidR="00FA63EA" w:rsidRPr="00474E79" w:rsidRDefault="00FA63EA" w:rsidP="004A2AD2">
            <w:pPr>
              <w:rPr>
                <w:rFonts w:cs="Arial"/>
                <w:szCs w:val="20"/>
              </w:rPr>
            </w:pPr>
          </w:p>
          <w:p w:rsidR="00FA63EA" w:rsidRPr="00474E79" w:rsidRDefault="00FA63EA" w:rsidP="004A2AD2">
            <w:pPr>
              <w:pStyle w:val="Caption1"/>
              <w:rPr>
                <w:i w:val="0"/>
                <w:color w:val="auto"/>
              </w:rPr>
            </w:pPr>
          </w:p>
          <w:p w:rsidR="00FA63EA" w:rsidRPr="00474E79" w:rsidRDefault="00FA63EA" w:rsidP="004A2AD2">
            <w:pPr>
              <w:pStyle w:val="Caption1"/>
              <w:rPr>
                <w:i w:val="0"/>
                <w:color w:val="auto"/>
              </w:rPr>
            </w:pPr>
          </w:p>
          <w:p w:rsidR="00FA63EA" w:rsidRPr="00474E79" w:rsidRDefault="00FA63EA" w:rsidP="004A2AD2">
            <w:pPr>
              <w:pStyle w:val="Caption1"/>
              <w:rPr>
                <w:i w:val="0"/>
                <w:color w:val="auto"/>
              </w:rPr>
            </w:pPr>
          </w:p>
          <w:p w:rsidR="00FA63EA" w:rsidRPr="00474E79" w:rsidRDefault="00FA63EA" w:rsidP="004A2AD2">
            <w:pPr>
              <w:pStyle w:val="Caption1"/>
              <w:rPr>
                <w:i w:val="0"/>
                <w:color w:val="auto"/>
              </w:rPr>
            </w:pPr>
          </w:p>
          <w:p w:rsidR="00E8663B" w:rsidRPr="00474E79" w:rsidRDefault="00E8663B" w:rsidP="004A2AD2">
            <w:pPr>
              <w:pStyle w:val="Caption1"/>
              <w:rPr>
                <w:i w:val="0"/>
                <w:color w:val="auto"/>
              </w:rPr>
            </w:pPr>
          </w:p>
          <w:p w:rsidR="00FA63EA" w:rsidRPr="00474E79" w:rsidRDefault="00FA63EA" w:rsidP="004A2AD2">
            <w:pPr>
              <w:pStyle w:val="Caption1"/>
              <w:rPr>
                <w:i w:val="0"/>
                <w:color w:val="auto"/>
              </w:rPr>
            </w:pPr>
            <w:r w:rsidRPr="00474E79">
              <w:rPr>
                <w:i w:val="0"/>
                <w:color w:val="auto"/>
              </w:rPr>
              <w:t>All staff will be given training on how to best use the space</w:t>
            </w:r>
          </w:p>
        </w:tc>
        <w:tc>
          <w:tcPr>
            <w:tcW w:w="1564" w:type="dxa"/>
          </w:tcPr>
          <w:p w:rsidR="00FA63EA" w:rsidRDefault="00FA63EA" w:rsidP="004A2AD2">
            <w:pPr>
              <w:rPr>
                <w:rFonts w:cs="Arial"/>
                <w:szCs w:val="20"/>
              </w:rPr>
            </w:pPr>
            <w:r>
              <w:rPr>
                <w:rFonts w:cs="Arial"/>
                <w:szCs w:val="20"/>
              </w:rPr>
              <w:t>SENCO</w:t>
            </w: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Default="00FA63EA" w:rsidP="004A2AD2">
            <w:pPr>
              <w:rPr>
                <w:rFonts w:cs="Arial"/>
                <w:szCs w:val="20"/>
              </w:rPr>
            </w:pPr>
          </w:p>
          <w:p w:rsidR="00FA63EA" w:rsidRPr="00DA50A5" w:rsidRDefault="00FA63EA" w:rsidP="004A2AD2">
            <w:pPr>
              <w:rPr>
                <w:rFonts w:cs="Arial"/>
                <w:szCs w:val="20"/>
              </w:rPr>
            </w:pPr>
            <w:r>
              <w:rPr>
                <w:rFonts w:cs="Arial"/>
                <w:szCs w:val="20"/>
              </w:rPr>
              <w:t>ARP manager</w:t>
            </w:r>
          </w:p>
        </w:tc>
        <w:tc>
          <w:tcPr>
            <w:tcW w:w="1276" w:type="dxa"/>
          </w:tcPr>
          <w:p w:rsidR="00FA63EA" w:rsidRPr="00DA50A5" w:rsidRDefault="00FA63EA" w:rsidP="004A2AD2">
            <w:pPr>
              <w:rPr>
                <w:rFonts w:cs="Arial"/>
                <w:szCs w:val="20"/>
              </w:rPr>
            </w:pPr>
            <w:r>
              <w:rPr>
                <w:rFonts w:cs="Arial"/>
                <w:szCs w:val="20"/>
              </w:rPr>
              <w:t>Ongoing</w:t>
            </w:r>
          </w:p>
        </w:tc>
        <w:tc>
          <w:tcPr>
            <w:tcW w:w="2268" w:type="dxa"/>
          </w:tcPr>
          <w:p w:rsidR="00FA63EA" w:rsidRPr="00DA50A5" w:rsidRDefault="00FA63EA" w:rsidP="004A2AD2">
            <w:pPr>
              <w:rPr>
                <w:rFonts w:cs="Arial"/>
                <w:szCs w:val="20"/>
              </w:rPr>
            </w:pPr>
          </w:p>
        </w:tc>
      </w:tr>
      <w:tr w:rsidR="00FA63EA" w:rsidRPr="00DA50A5" w:rsidTr="004A2AD2">
        <w:tc>
          <w:tcPr>
            <w:tcW w:w="1985" w:type="dxa"/>
            <w:shd w:val="clear" w:color="auto" w:fill="auto"/>
          </w:tcPr>
          <w:p w:rsidR="00FA63EA" w:rsidRDefault="00FA63EA" w:rsidP="004A2AD2">
            <w:pPr>
              <w:rPr>
                <w:rFonts w:cs="Arial"/>
                <w:szCs w:val="20"/>
              </w:rPr>
            </w:pPr>
            <w:r>
              <w:rPr>
                <w:rFonts w:cs="Arial"/>
                <w:szCs w:val="20"/>
              </w:rPr>
              <w:lastRenderedPageBreak/>
              <w:t>Improve the delivery of information to pupils with a disability</w:t>
            </w:r>
          </w:p>
          <w:p w:rsidR="00FA63EA" w:rsidRPr="00DA50A5" w:rsidRDefault="00FA63EA" w:rsidP="004A2AD2">
            <w:pPr>
              <w:rPr>
                <w:rFonts w:cs="Arial"/>
                <w:szCs w:val="20"/>
              </w:rPr>
            </w:pPr>
          </w:p>
        </w:tc>
        <w:tc>
          <w:tcPr>
            <w:tcW w:w="3260" w:type="dxa"/>
          </w:tcPr>
          <w:p w:rsidR="00FA63EA" w:rsidRDefault="00FA63EA" w:rsidP="004A2AD2">
            <w:pPr>
              <w:pStyle w:val="Caption1"/>
              <w:rPr>
                <w:i w:val="0"/>
                <w:color w:val="auto"/>
                <w:lang w:val="en-GB"/>
              </w:rPr>
            </w:pPr>
            <w:r>
              <w:rPr>
                <w:i w:val="0"/>
                <w:color w:val="auto"/>
                <w:lang w:val="en-GB"/>
              </w:rPr>
              <w:t xml:space="preserve">The school regularly holds Coffee Mornings for parents to come into the school and discuss concerns or to learn about different areas of SEND. These coffee mornings have translators available and specialists to share their expertise. </w:t>
            </w:r>
          </w:p>
          <w:p w:rsidR="00FA63EA" w:rsidRDefault="00FA63EA" w:rsidP="004A2AD2">
            <w:pPr>
              <w:pStyle w:val="Caption1"/>
              <w:rPr>
                <w:i w:val="0"/>
                <w:color w:val="auto"/>
                <w:lang w:val="en-GB"/>
              </w:rPr>
            </w:pPr>
          </w:p>
          <w:p w:rsidR="00FA63EA" w:rsidRDefault="00FA63EA" w:rsidP="004A2AD2">
            <w:pPr>
              <w:pStyle w:val="Caption1"/>
              <w:rPr>
                <w:i w:val="0"/>
                <w:color w:val="auto"/>
                <w:lang w:val="en-GB"/>
              </w:rPr>
            </w:pPr>
            <w:r>
              <w:rPr>
                <w:i w:val="0"/>
                <w:color w:val="auto"/>
                <w:lang w:val="en-GB"/>
              </w:rPr>
              <w:t xml:space="preserve">The school has an app where important information about issues relating to both SEND and broader areas can be shared </w:t>
            </w:r>
          </w:p>
          <w:p w:rsidR="00FA63EA" w:rsidRDefault="00FA63EA" w:rsidP="004A2AD2">
            <w:pPr>
              <w:pStyle w:val="Caption1"/>
              <w:rPr>
                <w:i w:val="0"/>
                <w:color w:val="auto"/>
                <w:lang w:val="en-GB"/>
              </w:rPr>
            </w:pPr>
          </w:p>
          <w:p w:rsidR="00FA63EA" w:rsidRDefault="00FA63EA" w:rsidP="00FA63EA">
            <w:pPr>
              <w:pStyle w:val="Caption1"/>
              <w:rPr>
                <w:i w:val="0"/>
                <w:color w:val="auto"/>
              </w:rPr>
            </w:pPr>
            <w:r>
              <w:rPr>
                <w:i w:val="0"/>
                <w:color w:val="auto"/>
              </w:rPr>
              <w:t xml:space="preserve">All reception parents were offered a tour of the ARP in line with Covid-19 restrictions </w:t>
            </w:r>
          </w:p>
          <w:p w:rsidR="00FA63EA" w:rsidRPr="00672119" w:rsidRDefault="00FA63EA" w:rsidP="004A2AD2">
            <w:pPr>
              <w:pStyle w:val="Caption1"/>
              <w:rPr>
                <w:i w:val="0"/>
                <w:color w:val="auto"/>
                <w:lang w:val="en-GB"/>
              </w:rPr>
            </w:pPr>
            <w:r>
              <w:rPr>
                <w:i w:val="0"/>
                <w:color w:val="auto"/>
                <w:lang w:val="en-GB"/>
              </w:rPr>
              <w:t xml:space="preserve">Parents help group set up to support children with autism who are emotionally dysregulated at home </w:t>
            </w:r>
          </w:p>
          <w:p w:rsidR="00FA63EA" w:rsidRPr="00474E79" w:rsidRDefault="00FA63EA" w:rsidP="004A2AD2">
            <w:pPr>
              <w:pStyle w:val="Caption1"/>
              <w:rPr>
                <w:color w:val="auto"/>
                <w:lang w:val="en-GB"/>
              </w:rPr>
            </w:pPr>
          </w:p>
          <w:p w:rsidR="00FA63EA" w:rsidRPr="00474E79" w:rsidRDefault="00FA63EA" w:rsidP="004A2AD2">
            <w:pPr>
              <w:pStyle w:val="Caption1"/>
              <w:rPr>
                <w:i w:val="0"/>
                <w:color w:val="auto"/>
                <w:lang w:val="en-GB"/>
              </w:rPr>
            </w:pPr>
            <w:r w:rsidRPr="00474E79">
              <w:rPr>
                <w:i w:val="0"/>
                <w:color w:val="auto"/>
                <w:lang w:val="en-GB"/>
              </w:rPr>
              <w:t>Due to Covid-19 the school has taken steps to support the communication between home and school with regular phone calls home from class teachers and SENCOs</w:t>
            </w:r>
          </w:p>
          <w:p w:rsidR="00FA63EA" w:rsidRDefault="00FA63EA" w:rsidP="004A2AD2">
            <w:pPr>
              <w:pStyle w:val="Caption1"/>
              <w:rPr>
                <w:lang w:val="en-GB"/>
              </w:rPr>
            </w:pPr>
          </w:p>
          <w:p w:rsidR="00FA63EA" w:rsidRPr="00FD3D9D" w:rsidRDefault="00FA63EA" w:rsidP="004A2AD2">
            <w:pPr>
              <w:pStyle w:val="Caption1"/>
            </w:pPr>
          </w:p>
        </w:tc>
        <w:tc>
          <w:tcPr>
            <w:tcW w:w="2410" w:type="dxa"/>
            <w:shd w:val="clear" w:color="auto" w:fill="auto"/>
          </w:tcPr>
          <w:p w:rsidR="00FA63EA" w:rsidRPr="00DA50A5" w:rsidRDefault="00FA63EA" w:rsidP="004A2AD2">
            <w:pPr>
              <w:rPr>
                <w:rFonts w:cs="Arial"/>
                <w:szCs w:val="20"/>
              </w:rPr>
            </w:pPr>
            <w:r>
              <w:rPr>
                <w:rFonts w:cs="Arial"/>
                <w:szCs w:val="20"/>
              </w:rPr>
              <w:lastRenderedPageBreak/>
              <w:t>To set up a partnership with HiP Hackney Independent Parents to begin parent workshops to support girls with ASD</w:t>
            </w:r>
          </w:p>
        </w:tc>
        <w:tc>
          <w:tcPr>
            <w:tcW w:w="2405" w:type="dxa"/>
          </w:tcPr>
          <w:p w:rsidR="00FA63EA" w:rsidRDefault="00FA63EA" w:rsidP="004A2AD2">
            <w:pPr>
              <w:rPr>
                <w:rFonts w:cs="Arial"/>
                <w:szCs w:val="20"/>
              </w:rPr>
            </w:pPr>
            <w:r>
              <w:rPr>
                <w:rFonts w:cs="Arial"/>
                <w:szCs w:val="20"/>
              </w:rPr>
              <w:t>Liaise with HiP and parents</w:t>
            </w:r>
          </w:p>
          <w:p w:rsidR="00FA63EA" w:rsidRDefault="00FA63EA" w:rsidP="004A2AD2">
            <w:pPr>
              <w:rPr>
                <w:rFonts w:cs="Arial"/>
                <w:szCs w:val="20"/>
              </w:rPr>
            </w:pPr>
          </w:p>
          <w:p w:rsidR="00FA63EA" w:rsidRPr="00DA50A5" w:rsidRDefault="00FA63EA" w:rsidP="004A2AD2">
            <w:pPr>
              <w:rPr>
                <w:rFonts w:cs="Arial"/>
                <w:szCs w:val="20"/>
              </w:rPr>
            </w:pPr>
            <w:r>
              <w:rPr>
                <w:rFonts w:cs="Arial"/>
                <w:szCs w:val="20"/>
              </w:rPr>
              <w:t xml:space="preserve">Assign appropriate space for workshops  </w:t>
            </w:r>
          </w:p>
        </w:tc>
        <w:tc>
          <w:tcPr>
            <w:tcW w:w="1564" w:type="dxa"/>
          </w:tcPr>
          <w:p w:rsidR="00FA63EA" w:rsidRPr="00DA50A5" w:rsidRDefault="00FA63EA" w:rsidP="004A2AD2">
            <w:pPr>
              <w:rPr>
                <w:rFonts w:cs="Arial"/>
                <w:szCs w:val="20"/>
              </w:rPr>
            </w:pPr>
            <w:r>
              <w:rPr>
                <w:rFonts w:cs="Arial"/>
                <w:szCs w:val="20"/>
              </w:rPr>
              <w:t>SENCO</w:t>
            </w:r>
          </w:p>
        </w:tc>
        <w:tc>
          <w:tcPr>
            <w:tcW w:w="1276" w:type="dxa"/>
          </w:tcPr>
          <w:p w:rsidR="00FA63EA" w:rsidRPr="00DA50A5" w:rsidRDefault="00FA63EA" w:rsidP="004A2AD2">
            <w:pPr>
              <w:rPr>
                <w:rFonts w:cs="Arial"/>
                <w:szCs w:val="20"/>
              </w:rPr>
            </w:pPr>
            <w:r>
              <w:rPr>
                <w:rFonts w:cs="Arial"/>
                <w:szCs w:val="20"/>
              </w:rPr>
              <w:t>By the Spring term 2019</w:t>
            </w:r>
          </w:p>
        </w:tc>
        <w:tc>
          <w:tcPr>
            <w:tcW w:w="2268" w:type="dxa"/>
          </w:tcPr>
          <w:p w:rsidR="00FA63EA" w:rsidRPr="00DA50A5" w:rsidRDefault="00FA63EA" w:rsidP="004A2AD2">
            <w:pPr>
              <w:rPr>
                <w:rFonts w:cs="Arial"/>
                <w:szCs w:val="20"/>
              </w:rPr>
            </w:pPr>
          </w:p>
        </w:tc>
      </w:tr>
    </w:tbl>
    <w:p w:rsidR="00FA63EA" w:rsidRDefault="00FA63EA" w:rsidP="00FA63EA">
      <w:pPr>
        <w:rPr>
          <w:rFonts w:ascii="Cambria" w:hAnsi="Cambria"/>
          <w:sz w:val="24"/>
        </w:rPr>
        <w:sectPr w:rsidR="00FA63EA" w:rsidSect="000244E5">
          <w:pgSz w:w="16840" w:h="11900" w:orient="landscape" w:code="9"/>
          <w:pgMar w:top="1134" w:right="851" w:bottom="1134" w:left="1134" w:header="567" w:footer="567" w:gutter="0"/>
          <w:cols w:space="708"/>
          <w:titlePg/>
          <w:docGrid w:linePitch="360"/>
        </w:sectPr>
      </w:pPr>
    </w:p>
    <w:p w:rsidR="00FA63EA" w:rsidRPr="00DA50A5" w:rsidRDefault="00FA63EA" w:rsidP="00FA63EA">
      <w:pPr>
        <w:rPr>
          <w:rFonts w:ascii="Cambria" w:hAnsi="Cambria"/>
          <w:sz w:val="24"/>
        </w:rPr>
      </w:pPr>
    </w:p>
    <w:p w:rsidR="00FA63EA" w:rsidRDefault="00FA63EA" w:rsidP="00FA63EA">
      <w:pPr>
        <w:pStyle w:val="Heading1"/>
      </w:pPr>
      <w:bookmarkStart w:id="4" w:name="_Toc491429311"/>
      <w:r>
        <w:t>4. Monitoring arrangements</w:t>
      </w:r>
      <w:bookmarkEnd w:id="4"/>
    </w:p>
    <w:p w:rsidR="00FA63EA" w:rsidRDefault="00FA63EA" w:rsidP="00FA63EA">
      <w:pPr>
        <w:rPr>
          <w:rFonts w:cs="Arial"/>
          <w:szCs w:val="20"/>
        </w:rPr>
      </w:pPr>
      <w:r>
        <w:rPr>
          <w:rFonts w:cs="Arial"/>
          <w:szCs w:val="20"/>
        </w:rPr>
        <w:t>This document</w:t>
      </w:r>
      <w:r w:rsidRPr="00C87FAE">
        <w:rPr>
          <w:rFonts w:cs="Arial"/>
          <w:szCs w:val="20"/>
        </w:rPr>
        <w:t xml:space="preserve"> will be </w:t>
      </w:r>
      <w:r>
        <w:rPr>
          <w:rFonts w:cs="Arial"/>
          <w:szCs w:val="20"/>
        </w:rPr>
        <w:t xml:space="preserve">reviewed every </w:t>
      </w:r>
      <w:r w:rsidRPr="00703481">
        <w:rPr>
          <w:rFonts w:cs="Arial"/>
          <w:b/>
          <w:szCs w:val="20"/>
        </w:rPr>
        <w:t>3</w:t>
      </w:r>
      <w:r>
        <w:rPr>
          <w:rFonts w:cs="Arial"/>
          <w:szCs w:val="20"/>
        </w:rPr>
        <w:t xml:space="preserve"> years, but may be reviewed and updated more frequently if necessary. </w:t>
      </w:r>
    </w:p>
    <w:p w:rsidR="00FA63EA" w:rsidRDefault="00474E79" w:rsidP="00FA63EA">
      <w:pPr>
        <w:rPr>
          <w:rFonts w:cs="Arial"/>
          <w:szCs w:val="20"/>
        </w:rPr>
      </w:pPr>
      <w:r>
        <w:rPr>
          <w:rFonts w:cs="Arial"/>
          <w:szCs w:val="20"/>
        </w:rPr>
        <w:t>It will be approved by the governing board.</w:t>
      </w:r>
    </w:p>
    <w:p w:rsidR="00FA63EA" w:rsidRDefault="00FA63EA" w:rsidP="00FA63EA">
      <w:pPr>
        <w:pStyle w:val="Heading1"/>
      </w:pPr>
      <w:bookmarkStart w:id="5" w:name="_Toc491429312"/>
      <w:r>
        <w:t>5. Links with other policies</w:t>
      </w:r>
      <w:bookmarkEnd w:id="5"/>
    </w:p>
    <w:p w:rsidR="00FA63EA" w:rsidRDefault="00FA63EA" w:rsidP="00FA63EA">
      <w:pPr>
        <w:spacing w:after="0"/>
        <w:rPr>
          <w:rFonts w:cs="Arial"/>
          <w:szCs w:val="20"/>
        </w:rPr>
      </w:pPr>
      <w:r w:rsidRPr="00C87FAE">
        <w:rPr>
          <w:rFonts w:cs="Arial"/>
          <w:szCs w:val="20"/>
        </w:rPr>
        <w:t xml:space="preserve">This </w:t>
      </w:r>
      <w:r>
        <w:rPr>
          <w:rFonts w:cs="Arial"/>
          <w:szCs w:val="20"/>
        </w:rPr>
        <w:t>accessibility plan is linked to the following policies and documents:</w:t>
      </w:r>
    </w:p>
    <w:p w:rsidR="00FA63EA" w:rsidRPr="003733D6" w:rsidRDefault="00FA63EA" w:rsidP="00FA63EA">
      <w:pPr>
        <w:pStyle w:val="ListParagraph"/>
        <w:numPr>
          <w:ilvl w:val="0"/>
          <w:numId w:val="3"/>
        </w:numPr>
        <w:spacing w:after="0" w:line="240" w:lineRule="auto"/>
      </w:pPr>
      <w:r>
        <w:rPr>
          <w:rFonts w:ascii="Arial" w:hAnsi="Arial" w:cs="Arial"/>
          <w:sz w:val="20"/>
          <w:szCs w:val="20"/>
        </w:rPr>
        <w:t>R</w:t>
      </w:r>
      <w:r w:rsidRPr="003733D6">
        <w:rPr>
          <w:rFonts w:ascii="Arial" w:hAnsi="Arial" w:cs="Arial"/>
          <w:sz w:val="20"/>
          <w:szCs w:val="20"/>
        </w:rPr>
        <w:t xml:space="preserve">isk assessment </w:t>
      </w:r>
      <w:r>
        <w:rPr>
          <w:rFonts w:ascii="Arial" w:hAnsi="Arial" w:cs="Arial"/>
          <w:sz w:val="20"/>
          <w:szCs w:val="20"/>
        </w:rPr>
        <w:t>policy</w:t>
      </w:r>
    </w:p>
    <w:p w:rsidR="00FA63EA" w:rsidRPr="003733D6" w:rsidRDefault="00FA63EA" w:rsidP="00FA63EA">
      <w:pPr>
        <w:pStyle w:val="ListParagraph"/>
        <w:numPr>
          <w:ilvl w:val="0"/>
          <w:numId w:val="3"/>
        </w:numPr>
        <w:spacing w:after="0" w:line="240" w:lineRule="auto"/>
      </w:pPr>
      <w:r>
        <w:rPr>
          <w:rFonts w:ascii="Arial" w:hAnsi="Arial" w:cs="Arial"/>
          <w:sz w:val="20"/>
          <w:szCs w:val="20"/>
        </w:rPr>
        <w:t>Health and safety policy</w:t>
      </w:r>
    </w:p>
    <w:p w:rsidR="00FA63EA" w:rsidRPr="003733D6" w:rsidRDefault="00FA63EA" w:rsidP="00FA63EA">
      <w:pPr>
        <w:pStyle w:val="ListParagraph"/>
        <w:numPr>
          <w:ilvl w:val="0"/>
          <w:numId w:val="3"/>
        </w:numPr>
        <w:spacing w:after="0" w:line="240" w:lineRule="auto"/>
      </w:pPr>
      <w:r>
        <w:rPr>
          <w:rFonts w:ascii="Arial" w:hAnsi="Arial" w:cs="Arial"/>
          <w:color w:val="000000"/>
          <w:sz w:val="20"/>
          <w:szCs w:val="20"/>
          <w:shd w:val="clear" w:color="auto" w:fill="FFFFFF"/>
        </w:rPr>
        <w:t>E</w:t>
      </w:r>
      <w:r w:rsidRPr="003733D6">
        <w:rPr>
          <w:rFonts w:ascii="Arial" w:hAnsi="Arial" w:cs="Arial"/>
          <w:color w:val="000000"/>
          <w:sz w:val="20"/>
          <w:szCs w:val="20"/>
          <w:shd w:val="clear" w:color="auto" w:fill="FFFFFF"/>
        </w:rPr>
        <w:t>quality information and objectives (public sector equality duty) statement for publication</w:t>
      </w:r>
    </w:p>
    <w:p w:rsidR="00FA63EA" w:rsidRPr="003733D6" w:rsidRDefault="00FA63EA" w:rsidP="00FA63EA">
      <w:pPr>
        <w:pStyle w:val="ListParagraph"/>
        <w:numPr>
          <w:ilvl w:val="0"/>
          <w:numId w:val="3"/>
        </w:numPr>
        <w:spacing w:after="0" w:line="240" w:lineRule="auto"/>
      </w:pPr>
      <w:r>
        <w:rPr>
          <w:rFonts w:ascii="Arial" w:hAnsi="Arial" w:cs="Arial"/>
          <w:color w:val="000000"/>
          <w:sz w:val="20"/>
          <w:szCs w:val="20"/>
          <w:shd w:val="clear" w:color="auto" w:fill="FFFFFF"/>
        </w:rPr>
        <w:t>Special educational needs (SEN) information report</w:t>
      </w:r>
    </w:p>
    <w:p w:rsidR="00FA63EA" w:rsidRPr="002461F7" w:rsidRDefault="00FA63EA" w:rsidP="00FA63EA">
      <w:pPr>
        <w:pStyle w:val="ListParagraph"/>
        <w:numPr>
          <w:ilvl w:val="0"/>
          <w:numId w:val="3"/>
        </w:numPr>
        <w:spacing w:after="0" w:line="240" w:lineRule="auto"/>
      </w:pPr>
      <w:r>
        <w:rPr>
          <w:rFonts w:ascii="Arial" w:hAnsi="Arial" w:cs="Arial"/>
          <w:color w:val="000000"/>
          <w:sz w:val="20"/>
          <w:szCs w:val="20"/>
          <w:shd w:val="clear" w:color="auto" w:fill="FFFFFF"/>
        </w:rPr>
        <w:t>Supporting pupils with medical conditions policy</w:t>
      </w:r>
    </w:p>
    <w:p w:rsidR="00FA63EA" w:rsidRDefault="00FA63EA" w:rsidP="00FA63EA"/>
    <w:p w:rsidR="00416DCE" w:rsidRDefault="00416DCE" w:rsidP="00416DCE">
      <w:pPr>
        <w:rPr>
          <w:rFonts w:eastAsia="MS Gothic"/>
          <w:b/>
          <w:bCs/>
          <w:sz w:val="28"/>
          <w:szCs w:val="32"/>
        </w:rPr>
      </w:pPr>
    </w:p>
    <w:p w:rsidR="00416DCE" w:rsidRDefault="00416DCE" w:rsidP="00416DCE">
      <w:pPr>
        <w:rPr>
          <w:rFonts w:eastAsia="MS Gothic"/>
          <w:b/>
          <w:bCs/>
          <w:sz w:val="28"/>
          <w:szCs w:val="32"/>
        </w:rPr>
      </w:pPr>
    </w:p>
    <w:p w:rsidR="00416DCE" w:rsidRDefault="00416DCE" w:rsidP="00416DCE">
      <w:pPr>
        <w:rPr>
          <w:rFonts w:eastAsia="MS Gothic"/>
          <w:b/>
          <w:bCs/>
          <w:sz w:val="28"/>
          <w:szCs w:val="32"/>
        </w:rPr>
      </w:pPr>
    </w:p>
    <w:p w:rsidR="00416DCE" w:rsidRDefault="00416DCE" w:rsidP="00416DCE">
      <w:pPr>
        <w:rPr>
          <w:rFonts w:eastAsia="MS Gothic"/>
          <w:b/>
          <w:bCs/>
          <w:sz w:val="28"/>
          <w:szCs w:val="32"/>
        </w:rPr>
      </w:pPr>
      <w:r>
        <w:rPr>
          <w:rFonts w:eastAsia="MS Gothic"/>
          <w:b/>
          <w:bCs/>
          <w:sz w:val="28"/>
          <w:szCs w:val="32"/>
        </w:rPr>
        <w:t xml:space="preserve">Approved by Governors Summer 2021. </w:t>
      </w:r>
    </w:p>
    <w:p w:rsidR="00416DCE" w:rsidRPr="00416DCE" w:rsidRDefault="00416DCE" w:rsidP="00416DCE">
      <w:pPr>
        <w:sectPr w:rsidR="00416DCE" w:rsidRPr="00416DCE" w:rsidSect="00FC0D6E">
          <w:pgSz w:w="11900" w:h="16840" w:code="9"/>
          <w:pgMar w:top="851" w:right="1134" w:bottom="1134" w:left="1134" w:header="567" w:footer="567" w:gutter="0"/>
          <w:cols w:space="708"/>
          <w:titlePg/>
          <w:docGrid w:linePitch="360"/>
        </w:sectPr>
      </w:pPr>
      <w:r>
        <w:rPr>
          <w:rFonts w:eastAsia="MS Gothic"/>
          <w:b/>
          <w:bCs/>
          <w:sz w:val="28"/>
          <w:szCs w:val="32"/>
        </w:rPr>
        <w:t xml:space="preserve">To be reviewed every 3 years. </w:t>
      </w:r>
      <w:bookmarkStart w:id="6" w:name="_GoBack"/>
      <w:bookmarkEnd w:id="6"/>
    </w:p>
    <w:p w:rsidR="00FA63EA" w:rsidRDefault="00FA63EA" w:rsidP="00FA63EA">
      <w:pPr>
        <w:pStyle w:val="Heading1"/>
      </w:pPr>
      <w:bookmarkStart w:id="7" w:name="_Toc491429313"/>
      <w:r>
        <w:lastRenderedPageBreak/>
        <w:t>Appendix 1: Accessibility audit</w:t>
      </w:r>
      <w:bookmarkEnd w:id="7"/>
    </w:p>
    <w:p w:rsidR="00FA63EA" w:rsidRDefault="00FA63EA" w:rsidP="00FA63EA"/>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FA63EA" w:rsidRPr="00DA50A5" w:rsidTr="004A2AD2">
        <w:trPr>
          <w:trHeight w:val="27"/>
        </w:trPr>
        <w:tc>
          <w:tcPr>
            <w:tcW w:w="3781" w:type="dxa"/>
            <w:shd w:val="clear" w:color="auto" w:fill="BFBFBF"/>
          </w:tcPr>
          <w:p w:rsidR="00FA63EA" w:rsidRDefault="00FA63EA" w:rsidP="004A2AD2">
            <w:pPr>
              <w:jc w:val="center"/>
              <w:rPr>
                <w:b/>
                <w:sz w:val="24"/>
              </w:rPr>
            </w:pPr>
            <w:r>
              <w:rPr>
                <w:b/>
                <w:sz w:val="24"/>
              </w:rPr>
              <w:t>Feature</w:t>
            </w:r>
          </w:p>
          <w:p w:rsidR="00FA63EA" w:rsidRPr="00D74822" w:rsidRDefault="00FA63EA" w:rsidP="004A2AD2">
            <w:pPr>
              <w:rPr>
                <w:b/>
                <w:sz w:val="24"/>
              </w:rPr>
            </w:pPr>
          </w:p>
        </w:tc>
        <w:tc>
          <w:tcPr>
            <w:tcW w:w="3220" w:type="dxa"/>
            <w:shd w:val="clear" w:color="auto" w:fill="BFBFBF"/>
          </w:tcPr>
          <w:p w:rsidR="00FA63EA" w:rsidRPr="00DA50A5" w:rsidRDefault="00FA63EA" w:rsidP="004A2AD2">
            <w:pPr>
              <w:jc w:val="center"/>
              <w:rPr>
                <w:b/>
                <w:sz w:val="24"/>
              </w:rPr>
            </w:pPr>
            <w:r>
              <w:rPr>
                <w:b/>
                <w:sz w:val="24"/>
              </w:rPr>
              <w:t>Description</w:t>
            </w:r>
          </w:p>
        </w:tc>
        <w:tc>
          <w:tcPr>
            <w:tcW w:w="5473" w:type="dxa"/>
            <w:shd w:val="clear" w:color="auto" w:fill="BFBFBF"/>
          </w:tcPr>
          <w:p w:rsidR="00FA63EA" w:rsidRPr="00DA50A5" w:rsidRDefault="00FA63EA" w:rsidP="004A2AD2">
            <w:pPr>
              <w:jc w:val="center"/>
              <w:rPr>
                <w:b/>
                <w:sz w:val="24"/>
              </w:rPr>
            </w:pPr>
            <w:r>
              <w:rPr>
                <w:b/>
                <w:sz w:val="24"/>
              </w:rPr>
              <w:t>Actions to be taken</w:t>
            </w:r>
          </w:p>
        </w:tc>
        <w:tc>
          <w:tcPr>
            <w:tcW w:w="1701" w:type="dxa"/>
            <w:shd w:val="clear" w:color="auto" w:fill="BFBFBF"/>
          </w:tcPr>
          <w:p w:rsidR="00FA63EA" w:rsidRPr="00DA50A5" w:rsidRDefault="00FA63EA" w:rsidP="004A2AD2">
            <w:pPr>
              <w:jc w:val="center"/>
              <w:rPr>
                <w:b/>
                <w:sz w:val="24"/>
              </w:rPr>
            </w:pPr>
            <w:r>
              <w:rPr>
                <w:b/>
                <w:sz w:val="24"/>
              </w:rPr>
              <w:t>Person responsible</w:t>
            </w:r>
          </w:p>
        </w:tc>
        <w:tc>
          <w:tcPr>
            <w:tcW w:w="1701" w:type="dxa"/>
            <w:shd w:val="clear" w:color="auto" w:fill="BFBFBF"/>
          </w:tcPr>
          <w:p w:rsidR="00FA63EA" w:rsidRPr="00DA50A5" w:rsidRDefault="00FA63EA" w:rsidP="004A2AD2">
            <w:pPr>
              <w:jc w:val="center"/>
              <w:rPr>
                <w:b/>
                <w:sz w:val="24"/>
              </w:rPr>
            </w:pPr>
            <w:r>
              <w:rPr>
                <w:b/>
                <w:sz w:val="24"/>
              </w:rPr>
              <w:t>Date to complete actions by</w:t>
            </w:r>
          </w:p>
        </w:tc>
      </w:tr>
      <w:tr w:rsidR="00FA63EA" w:rsidRPr="00DA50A5" w:rsidTr="004A2AD2">
        <w:tc>
          <w:tcPr>
            <w:tcW w:w="3781" w:type="dxa"/>
            <w:shd w:val="clear" w:color="auto" w:fill="auto"/>
          </w:tcPr>
          <w:p w:rsidR="00FA63EA" w:rsidRPr="00DA50A5" w:rsidRDefault="00FA63EA" w:rsidP="004A2AD2">
            <w:pPr>
              <w:rPr>
                <w:rFonts w:cs="Arial"/>
                <w:szCs w:val="20"/>
              </w:rPr>
            </w:pPr>
            <w:r>
              <w:rPr>
                <w:rFonts w:cs="Arial"/>
                <w:szCs w:val="20"/>
              </w:rPr>
              <w:t>Number of storeys</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r w:rsidR="00FA63EA" w:rsidRPr="00DA50A5" w:rsidTr="004A2AD2">
        <w:tc>
          <w:tcPr>
            <w:tcW w:w="3781" w:type="dxa"/>
            <w:shd w:val="clear" w:color="auto" w:fill="auto"/>
          </w:tcPr>
          <w:p w:rsidR="00FA63EA" w:rsidRPr="00DA50A5" w:rsidRDefault="00FA63EA" w:rsidP="004A2AD2">
            <w:pPr>
              <w:rPr>
                <w:rFonts w:cs="Arial"/>
                <w:szCs w:val="20"/>
              </w:rPr>
            </w:pPr>
            <w:r>
              <w:rPr>
                <w:rFonts w:cs="Arial"/>
                <w:szCs w:val="20"/>
              </w:rPr>
              <w:t>Corridor access</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r w:rsidR="00FA63EA" w:rsidRPr="00DA50A5" w:rsidTr="004A2AD2">
        <w:tc>
          <w:tcPr>
            <w:tcW w:w="3781" w:type="dxa"/>
            <w:shd w:val="clear" w:color="auto" w:fill="auto"/>
          </w:tcPr>
          <w:p w:rsidR="00FA63EA" w:rsidRPr="00DA50A5" w:rsidRDefault="00FA63EA" w:rsidP="004A2AD2">
            <w:pPr>
              <w:rPr>
                <w:rFonts w:cs="Arial"/>
                <w:szCs w:val="20"/>
              </w:rPr>
            </w:pPr>
            <w:r>
              <w:rPr>
                <w:rFonts w:cs="Arial"/>
                <w:szCs w:val="20"/>
              </w:rPr>
              <w:t>Lifts</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r w:rsidR="00FA63EA" w:rsidRPr="00DA50A5" w:rsidTr="004A2AD2">
        <w:tc>
          <w:tcPr>
            <w:tcW w:w="3781" w:type="dxa"/>
            <w:shd w:val="clear" w:color="auto" w:fill="auto"/>
          </w:tcPr>
          <w:p w:rsidR="00FA63EA" w:rsidRDefault="00FA63EA" w:rsidP="004A2AD2">
            <w:pPr>
              <w:rPr>
                <w:rFonts w:cs="Arial"/>
                <w:szCs w:val="20"/>
              </w:rPr>
            </w:pPr>
            <w:r>
              <w:rPr>
                <w:rFonts w:cs="Arial"/>
                <w:szCs w:val="20"/>
              </w:rPr>
              <w:t>Parking bays</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r w:rsidR="00FA63EA" w:rsidRPr="00DA50A5" w:rsidTr="004A2AD2">
        <w:tc>
          <w:tcPr>
            <w:tcW w:w="3781" w:type="dxa"/>
            <w:shd w:val="clear" w:color="auto" w:fill="auto"/>
          </w:tcPr>
          <w:p w:rsidR="00FA63EA" w:rsidRDefault="00FA63EA" w:rsidP="004A2AD2">
            <w:pPr>
              <w:rPr>
                <w:rFonts w:cs="Arial"/>
                <w:szCs w:val="20"/>
              </w:rPr>
            </w:pPr>
            <w:r>
              <w:rPr>
                <w:rFonts w:cs="Arial"/>
                <w:szCs w:val="20"/>
              </w:rPr>
              <w:t>Entrances</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r w:rsidR="00FA63EA" w:rsidRPr="00DA50A5" w:rsidTr="004A2AD2">
        <w:tc>
          <w:tcPr>
            <w:tcW w:w="3781" w:type="dxa"/>
            <w:shd w:val="clear" w:color="auto" w:fill="auto"/>
          </w:tcPr>
          <w:p w:rsidR="00FA63EA" w:rsidRDefault="00FA63EA" w:rsidP="004A2AD2">
            <w:pPr>
              <w:rPr>
                <w:rFonts w:cs="Arial"/>
                <w:szCs w:val="20"/>
              </w:rPr>
            </w:pPr>
            <w:r>
              <w:rPr>
                <w:rFonts w:cs="Arial"/>
                <w:szCs w:val="20"/>
              </w:rPr>
              <w:t>Ramps</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r w:rsidR="00FA63EA" w:rsidRPr="00DA50A5" w:rsidTr="004A2AD2">
        <w:tc>
          <w:tcPr>
            <w:tcW w:w="3781" w:type="dxa"/>
            <w:shd w:val="clear" w:color="auto" w:fill="auto"/>
          </w:tcPr>
          <w:p w:rsidR="00FA63EA" w:rsidRDefault="00FA63EA" w:rsidP="004A2AD2">
            <w:pPr>
              <w:rPr>
                <w:rFonts w:cs="Arial"/>
                <w:szCs w:val="20"/>
              </w:rPr>
            </w:pPr>
            <w:r>
              <w:rPr>
                <w:rFonts w:cs="Arial"/>
                <w:szCs w:val="20"/>
              </w:rPr>
              <w:t>Toilets</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r w:rsidR="00FA63EA" w:rsidRPr="00DA50A5" w:rsidTr="004A2AD2">
        <w:tc>
          <w:tcPr>
            <w:tcW w:w="3781" w:type="dxa"/>
            <w:shd w:val="clear" w:color="auto" w:fill="auto"/>
          </w:tcPr>
          <w:p w:rsidR="00FA63EA" w:rsidRDefault="00FA63EA" w:rsidP="004A2AD2">
            <w:pPr>
              <w:rPr>
                <w:rFonts w:cs="Arial"/>
                <w:szCs w:val="20"/>
              </w:rPr>
            </w:pPr>
            <w:r>
              <w:rPr>
                <w:rFonts w:cs="Arial"/>
                <w:szCs w:val="20"/>
              </w:rPr>
              <w:lastRenderedPageBreak/>
              <w:t>Reception area</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r w:rsidR="00FA63EA" w:rsidRPr="00DA50A5" w:rsidTr="004A2AD2">
        <w:tc>
          <w:tcPr>
            <w:tcW w:w="3781" w:type="dxa"/>
            <w:shd w:val="clear" w:color="auto" w:fill="auto"/>
          </w:tcPr>
          <w:p w:rsidR="00FA63EA" w:rsidRDefault="00FA63EA" w:rsidP="004A2AD2">
            <w:pPr>
              <w:rPr>
                <w:rFonts w:cs="Arial"/>
                <w:szCs w:val="20"/>
              </w:rPr>
            </w:pPr>
            <w:r>
              <w:rPr>
                <w:rFonts w:cs="Arial"/>
                <w:szCs w:val="20"/>
              </w:rPr>
              <w:t>Internal signage</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r w:rsidR="00FA63EA" w:rsidRPr="00DA50A5" w:rsidTr="004A2AD2">
        <w:tc>
          <w:tcPr>
            <w:tcW w:w="3781" w:type="dxa"/>
            <w:shd w:val="clear" w:color="auto" w:fill="auto"/>
          </w:tcPr>
          <w:p w:rsidR="00FA63EA" w:rsidRDefault="00FA63EA" w:rsidP="004A2AD2">
            <w:pPr>
              <w:rPr>
                <w:rFonts w:cs="Arial"/>
                <w:szCs w:val="20"/>
              </w:rPr>
            </w:pPr>
            <w:r>
              <w:rPr>
                <w:rFonts w:cs="Arial"/>
                <w:szCs w:val="20"/>
              </w:rPr>
              <w:t>Emergency escape routes</w:t>
            </w:r>
          </w:p>
        </w:tc>
        <w:tc>
          <w:tcPr>
            <w:tcW w:w="3220" w:type="dxa"/>
            <w:shd w:val="clear" w:color="auto" w:fill="auto"/>
          </w:tcPr>
          <w:p w:rsidR="00FA63EA" w:rsidRPr="00DA50A5" w:rsidRDefault="00FA63EA" w:rsidP="004A2AD2">
            <w:pPr>
              <w:rPr>
                <w:rFonts w:cs="Arial"/>
                <w:szCs w:val="20"/>
              </w:rPr>
            </w:pPr>
          </w:p>
        </w:tc>
        <w:tc>
          <w:tcPr>
            <w:tcW w:w="5473"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c>
          <w:tcPr>
            <w:tcW w:w="1701" w:type="dxa"/>
          </w:tcPr>
          <w:p w:rsidR="00FA63EA" w:rsidRPr="00DA50A5" w:rsidRDefault="00FA63EA" w:rsidP="004A2AD2">
            <w:pPr>
              <w:rPr>
                <w:rFonts w:cs="Arial"/>
                <w:szCs w:val="20"/>
              </w:rPr>
            </w:pPr>
          </w:p>
        </w:tc>
      </w:tr>
    </w:tbl>
    <w:p w:rsidR="00FA63EA" w:rsidRPr="00FD3D9D" w:rsidRDefault="00FA63EA" w:rsidP="00FA63EA"/>
    <w:p w:rsidR="00FA63EA" w:rsidRDefault="00FA63EA" w:rsidP="00FA63EA"/>
    <w:p w:rsidR="00E75E28" w:rsidRDefault="00E75E28"/>
    <w:sectPr w:rsidR="00E75E28" w:rsidSect="0080496A">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74B" w:rsidRDefault="000E674B">
      <w:pPr>
        <w:spacing w:before="0" w:after="0"/>
      </w:pPr>
      <w:r>
        <w:separator/>
      </w:r>
    </w:p>
  </w:endnote>
  <w:endnote w:type="continuationSeparator" w:id="0">
    <w:p w:rsidR="000E674B" w:rsidRDefault="000E67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FA63E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49B5" w:rsidRDefault="000E674B"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B5" w:rsidRDefault="00FA63E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DCE">
      <w:rPr>
        <w:rStyle w:val="PageNumber"/>
        <w:noProof/>
      </w:rPr>
      <w:t>8</w:t>
    </w:r>
    <w:r>
      <w:rPr>
        <w:rStyle w:val="PageNumber"/>
      </w:rPr>
      <w:fldChar w:fldCharType="end"/>
    </w:r>
  </w:p>
  <w:p w:rsidR="00D349B5" w:rsidRDefault="000E674B"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74B" w:rsidRDefault="000E674B">
      <w:pPr>
        <w:spacing w:before="0" w:after="0"/>
      </w:pPr>
      <w:r>
        <w:separator/>
      </w:r>
    </w:p>
  </w:footnote>
  <w:footnote w:type="continuationSeparator" w:id="0">
    <w:p w:rsidR="000E674B" w:rsidRDefault="000E674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FA" w:rsidRDefault="000F60FA" w:rsidP="000F60FA">
    <w:pPr>
      <w:pStyle w:val="Header"/>
      <w:jc w:val="center"/>
    </w:pPr>
    <w:r w:rsidRPr="003172BC">
      <w:rPr>
        <w:noProof/>
        <w:vertAlign w:val="subscript"/>
        <w:lang w:eastAsia="en-GB"/>
      </w:rPr>
      <w:drawing>
        <wp:inline distT="0" distB="0" distL="0" distR="0" wp14:anchorId="6F36CF87" wp14:editId="24C45D77">
          <wp:extent cx="588397" cy="588397"/>
          <wp:effectExtent l="0" t="0" r="2540" b="2540"/>
          <wp:docPr id="1" name="Picture 1" descr="Image result for queensbridg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ensbridge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41" cy="586641"/>
                  </a:xfrm>
                  <a:prstGeom prst="rect">
                    <a:avLst/>
                  </a:prstGeom>
                  <a:noFill/>
                  <a:ln>
                    <a:noFill/>
                  </a:ln>
                </pic:spPr>
              </pic:pic>
            </a:graphicData>
          </a:graphic>
        </wp:inline>
      </w:drawing>
    </w:r>
  </w:p>
  <w:p w:rsidR="000F60FA" w:rsidRPr="000F60FA" w:rsidRDefault="000F60FA" w:rsidP="000F60FA">
    <w:pPr>
      <w:pStyle w:val="Header"/>
      <w:jc w:val="center"/>
      <w:rPr>
        <w:sz w:val="28"/>
        <w:szCs w:val="28"/>
      </w:rPr>
    </w:pPr>
  </w:p>
  <w:p w:rsidR="000F60FA" w:rsidRPr="000F60FA" w:rsidRDefault="000F60FA" w:rsidP="000F60FA">
    <w:pPr>
      <w:pStyle w:val="Header"/>
      <w:jc w:val="center"/>
      <w:rPr>
        <w:sz w:val="28"/>
        <w:szCs w:val="28"/>
      </w:rPr>
    </w:pPr>
    <w:r w:rsidRPr="000F60FA">
      <w:rPr>
        <w:sz w:val="28"/>
        <w:szCs w:val="28"/>
      </w:rPr>
      <w:t>Accessibility Plan</w:t>
    </w:r>
  </w:p>
  <w:p w:rsidR="000F60FA" w:rsidRDefault="000F60FA" w:rsidP="000F60F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E3FC1"/>
    <w:multiLevelType w:val="hybridMultilevel"/>
    <w:tmpl w:val="DA0CBD38"/>
    <w:lvl w:ilvl="0" w:tplc="9594E1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EA"/>
    <w:rsid w:val="000E674B"/>
    <w:rsid w:val="000F60FA"/>
    <w:rsid w:val="00416DCE"/>
    <w:rsid w:val="00474E79"/>
    <w:rsid w:val="00BB41CE"/>
    <w:rsid w:val="00E75E28"/>
    <w:rsid w:val="00E8663B"/>
    <w:rsid w:val="00FA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ABED"/>
  <w15:chartTrackingRefBased/>
  <w15:docId w15:val="{6441BB4A-D277-4CC4-9E06-9387FFE9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EA"/>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FA63EA"/>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EA"/>
    <w:rPr>
      <w:rFonts w:ascii="Arial" w:eastAsia="MS Gothic" w:hAnsi="Arial" w:cs="Times New Roman"/>
      <w:b/>
      <w:bCs/>
      <w:sz w:val="28"/>
      <w:szCs w:val="32"/>
      <w:lang w:val="en-US"/>
    </w:rPr>
  </w:style>
  <w:style w:type="paragraph" w:styleId="TOC1">
    <w:name w:val="toc 1"/>
    <w:basedOn w:val="Normal"/>
    <w:next w:val="Normal"/>
    <w:autoRedefine/>
    <w:uiPriority w:val="39"/>
    <w:unhideWhenUsed/>
    <w:qFormat/>
    <w:rsid w:val="00FA63EA"/>
    <w:pPr>
      <w:tabs>
        <w:tab w:val="right" w:leader="dot" w:pos="9338"/>
      </w:tabs>
    </w:pPr>
    <w:rPr>
      <w:sz w:val="22"/>
    </w:rPr>
  </w:style>
  <w:style w:type="paragraph" w:styleId="Footer">
    <w:name w:val="footer"/>
    <w:basedOn w:val="Normal"/>
    <w:link w:val="FooterChar"/>
    <w:uiPriority w:val="99"/>
    <w:unhideWhenUsed/>
    <w:rsid w:val="00FA63EA"/>
    <w:pPr>
      <w:tabs>
        <w:tab w:val="center" w:pos="4320"/>
        <w:tab w:val="right" w:pos="8640"/>
      </w:tabs>
      <w:spacing w:before="0" w:after="0"/>
    </w:pPr>
  </w:style>
  <w:style w:type="character" w:customStyle="1" w:styleId="FooterChar">
    <w:name w:val="Footer Char"/>
    <w:basedOn w:val="DefaultParagraphFont"/>
    <w:link w:val="Footer"/>
    <w:uiPriority w:val="99"/>
    <w:rsid w:val="00FA63EA"/>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FA63EA"/>
  </w:style>
  <w:style w:type="character" w:styleId="Hyperlink">
    <w:name w:val="Hyperlink"/>
    <w:uiPriority w:val="99"/>
    <w:unhideWhenUsed/>
    <w:qFormat/>
    <w:rsid w:val="00FA63EA"/>
    <w:rPr>
      <w:rFonts w:ascii="Arial" w:hAnsi="Arial"/>
      <w:color w:val="0092CF"/>
      <w:sz w:val="20"/>
      <w:u w:val="single"/>
    </w:rPr>
  </w:style>
  <w:style w:type="paragraph" w:customStyle="1" w:styleId="Caption1">
    <w:name w:val="Caption 1"/>
    <w:basedOn w:val="Normal"/>
    <w:qFormat/>
    <w:rsid w:val="00FA63EA"/>
    <w:rPr>
      <w:i/>
      <w:color w:val="F15F22"/>
    </w:rPr>
  </w:style>
  <w:style w:type="paragraph" w:customStyle="1" w:styleId="Title1">
    <w:name w:val="Title 1"/>
    <w:basedOn w:val="Heading1"/>
    <w:link w:val="Title1Char"/>
    <w:autoRedefine/>
    <w:qFormat/>
    <w:rsid w:val="00FA63EA"/>
    <w:rPr>
      <w:color w:val="0070C0"/>
      <w:sz w:val="44"/>
    </w:rPr>
  </w:style>
  <w:style w:type="character" w:customStyle="1" w:styleId="Title1Char">
    <w:name w:val="Title 1 Char"/>
    <w:link w:val="Title1"/>
    <w:rsid w:val="00FA63EA"/>
    <w:rPr>
      <w:rFonts w:ascii="Arial" w:eastAsia="MS Gothic" w:hAnsi="Arial" w:cs="Times New Roman"/>
      <w:b/>
      <w:bCs/>
      <w:color w:val="0070C0"/>
      <w:sz w:val="44"/>
      <w:szCs w:val="32"/>
      <w:lang w:val="en-US"/>
    </w:rPr>
  </w:style>
  <w:style w:type="paragraph" w:styleId="ListParagraph">
    <w:name w:val="List Paragraph"/>
    <w:basedOn w:val="Normal"/>
    <w:uiPriority w:val="34"/>
    <w:qFormat/>
    <w:rsid w:val="00FA63EA"/>
    <w:pPr>
      <w:spacing w:before="0" w:after="160" w:line="259" w:lineRule="auto"/>
      <w:ind w:left="720"/>
      <w:contextualSpacing/>
    </w:pPr>
    <w:rPr>
      <w:rFonts w:ascii="Calibri" w:eastAsia="Calibri" w:hAnsi="Calibri"/>
      <w:sz w:val="22"/>
      <w:szCs w:val="22"/>
      <w:lang w:val="en-GB"/>
    </w:rPr>
  </w:style>
  <w:style w:type="character" w:customStyle="1" w:styleId="apple-converted-space">
    <w:name w:val="apple-converted-space"/>
    <w:rsid w:val="00FA63EA"/>
  </w:style>
  <w:style w:type="paragraph" w:styleId="Header">
    <w:name w:val="header"/>
    <w:basedOn w:val="Normal"/>
    <w:link w:val="HeaderChar"/>
    <w:uiPriority w:val="99"/>
    <w:unhideWhenUsed/>
    <w:rsid w:val="000F60FA"/>
    <w:pPr>
      <w:tabs>
        <w:tab w:val="center" w:pos="4513"/>
        <w:tab w:val="right" w:pos="9026"/>
      </w:tabs>
      <w:spacing w:before="0" w:after="0"/>
    </w:pPr>
  </w:style>
  <w:style w:type="character" w:customStyle="1" w:styleId="HeaderChar">
    <w:name w:val="Header Char"/>
    <w:basedOn w:val="DefaultParagraphFont"/>
    <w:link w:val="Header"/>
    <w:uiPriority w:val="99"/>
    <w:rsid w:val="000F60FA"/>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chedule/1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ckneylocaloffer.co.uk/kb5/hackney/localoffer/home.pag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send-code-of-practice-0-to-25" TargetMode="Externa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Blakey</dc:creator>
  <cp:keywords/>
  <dc:description/>
  <cp:lastModifiedBy>Kate Dingle</cp:lastModifiedBy>
  <cp:revision>2</cp:revision>
  <dcterms:created xsi:type="dcterms:W3CDTF">2021-05-20T08:48:00Z</dcterms:created>
  <dcterms:modified xsi:type="dcterms:W3CDTF">2021-05-20T08:48:00Z</dcterms:modified>
</cp:coreProperties>
</file>